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F33AD">
      <w:pPr>
        <w:jc w:val="center"/>
        <w:rPr>
          <w:rFonts w:hint="eastAsia" w:ascii="宋体" w:hAnsi="宋体" w:eastAsia="宋体" w:cs="Times New Roman"/>
          <w:b/>
          <w:bCs/>
          <w:sz w:val="40"/>
          <w:szCs w:val="36"/>
        </w:rPr>
      </w:pPr>
      <w:r>
        <w:rPr>
          <w:rFonts w:ascii="宋体" w:hAnsi="宋体" w:eastAsia="宋体" w:cs="Times New Roman"/>
          <w:b/>
          <w:bCs/>
          <w:sz w:val="40"/>
          <w:szCs w:val="36"/>
        </w:rPr>
        <w:t>甘眉工业园保障性租赁住房建设项目</w:t>
      </w:r>
    </w:p>
    <w:p w14:paraId="524E2EAA">
      <w:pPr>
        <w:jc w:val="center"/>
        <w:rPr>
          <w:rFonts w:hint="eastAsia" w:ascii="宋体" w:hAnsi="宋体" w:eastAsia="宋体" w:cs="Times New Roman"/>
          <w:b/>
          <w:bCs/>
          <w:sz w:val="40"/>
          <w:szCs w:val="36"/>
        </w:rPr>
      </w:pPr>
      <w:r>
        <w:rPr>
          <w:rFonts w:ascii="宋体" w:hAnsi="宋体" w:eastAsia="宋体" w:cs="Times New Roman"/>
          <w:b/>
          <w:bCs/>
          <w:sz w:val="40"/>
          <w:szCs w:val="36"/>
        </w:rPr>
        <w:t>情况说明</w:t>
      </w:r>
    </w:p>
    <w:p w14:paraId="1C612027">
      <w:pPr>
        <w:pStyle w:val="2"/>
        <w:widowControl w:val="0"/>
        <w:spacing w:before="0" w:after="0" w:line="240" w:lineRule="exact"/>
        <w:rPr>
          <w:rFonts w:ascii="Times New Roman" w:hAnsi="Times New Roman" w:eastAsia="仿宋" w:cs="Times New Roman"/>
          <w:lang w:val="en-US"/>
        </w:rPr>
      </w:pPr>
    </w:p>
    <w:p w14:paraId="551B3D53">
      <w:pPr>
        <w:spacing w:before="163" w:beforeLines="50" w:line="360" w:lineRule="auto"/>
        <w:outlineLvl w:val="0"/>
        <w:rPr>
          <w:rFonts w:ascii="Times New Roman" w:hAnsi="Times New Roman" w:eastAsia="仿宋" w:cs="Times New Roman"/>
          <w:b/>
          <w:bCs/>
          <w:sz w:val="32"/>
          <w:szCs w:val="32"/>
        </w:rPr>
      </w:pPr>
      <w:bookmarkStart w:id="0" w:name="_Toc29970"/>
      <w:r>
        <w:rPr>
          <w:rFonts w:ascii="Times New Roman" w:hAnsi="Times New Roman" w:eastAsia="仿宋" w:cs="Times New Roman"/>
          <w:b/>
          <w:bCs/>
          <w:sz w:val="32"/>
          <w:szCs w:val="32"/>
        </w:rPr>
        <w:t>一、项目基本情况</w:t>
      </w:r>
      <w:bookmarkEnd w:id="0"/>
    </w:p>
    <w:p w14:paraId="110C8C18">
      <w:pPr>
        <w:pStyle w:val="5"/>
        <w:spacing w:before="0" w:after="0" w:line="360" w:lineRule="auto"/>
        <w:rPr>
          <w:rFonts w:ascii="Times New Roman" w:hAnsi="Times New Roman" w:eastAsia="仿宋" w:cs="Times New Roman"/>
        </w:rPr>
      </w:pPr>
      <w:bookmarkStart w:id="1" w:name="_Toc498385045"/>
      <w:bookmarkStart w:id="2" w:name="_Toc498385714"/>
      <w:bookmarkStart w:id="3" w:name="_Toc29907"/>
      <w:bookmarkStart w:id="4" w:name="_Toc29323"/>
      <w:r>
        <w:rPr>
          <w:rFonts w:ascii="Times New Roman" w:hAnsi="Times New Roman" w:eastAsia="仿宋" w:cs="Times New Roman"/>
        </w:rPr>
        <w:t>（一）</w:t>
      </w:r>
      <w:bookmarkEnd w:id="1"/>
      <w:bookmarkEnd w:id="2"/>
      <w:r>
        <w:rPr>
          <w:rFonts w:ascii="Times New Roman" w:hAnsi="Times New Roman" w:eastAsia="仿宋" w:cs="Times New Roman"/>
        </w:rPr>
        <w:t>行业专项规划概况</w:t>
      </w:r>
      <w:bookmarkEnd w:id="3"/>
      <w:bookmarkEnd w:id="4"/>
    </w:p>
    <w:p w14:paraId="1E46305D">
      <w:pPr>
        <w:widowControl/>
        <w:spacing w:line="360" w:lineRule="auto"/>
        <w:ind w:firstLine="560" w:firstLineChars="200"/>
        <w:rPr>
          <w:rFonts w:ascii="Times New Roman" w:hAnsi="Times New Roman" w:eastAsia="仿宋" w:cs="Times New Roman"/>
          <w:bCs/>
          <w:sz w:val="28"/>
          <w:szCs w:val="28"/>
        </w:rPr>
      </w:pPr>
      <w:r>
        <w:rPr>
          <w:rFonts w:hint="eastAsia" w:ascii="Times New Roman" w:hAnsi="Times New Roman" w:eastAsia="仿宋" w:cs="Times New Roman"/>
          <w:bCs/>
          <w:sz w:val="28"/>
          <w:szCs w:val="28"/>
        </w:rPr>
        <w:t>（1）国家相关政策及规划</w:t>
      </w:r>
    </w:p>
    <w:p w14:paraId="0C6D332E">
      <w:pPr>
        <w:widowControl/>
        <w:spacing w:line="360" w:lineRule="auto"/>
        <w:ind w:firstLine="560" w:firstLineChars="200"/>
        <w:rPr>
          <w:rFonts w:ascii="Times New Roman" w:hAnsi="Times New Roman" w:eastAsia="仿宋" w:cs="Times New Roman"/>
          <w:bCs/>
          <w:sz w:val="28"/>
          <w:szCs w:val="28"/>
        </w:rPr>
      </w:pPr>
      <w:r>
        <w:rPr>
          <w:rFonts w:hint="eastAsia" w:ascii="Times New Roman" w:hAnsi="Times New Roman" w:eastAsia="仿宋" w:cs="Times New Roman"/>
          <w:bCs/>
          <w:sz w:val="28"/>
          <w:szCs w:val="28"/>
        </w:rPr>
        <w:t>《中华人民共和国国民经济和社会发展第十四个五年（2021－2025年）规划纲要》要求完善住房市场体系和住房保障体系：坚持房子是用来住的、不是用来炒的定位，加快建立多主体供给、多渠道保障、租购并举的住房制度，让全体人民住有所居、居住平衡。坚持因地制宜、多策并举，夯实城市政府主体责任，稳定地价、房价和预期。建立住房和土地联动机制，加强房地产金融调控，发挥住房税收调节作用，支持合理自住需求，遏制投资投机性需求。加快培育和发展住房租赁市场，有效盘活存量住房资源，有力有序扩大城市租赁住房供给，完善长租房政策，逐步使租购住房在享受公共服务上具有同等权利。加快住房租赁法规建设，加强租赁市场监管，保障承租人和出租人合法权益。有效增加保障性住房供给，完善住房保障基础性制度和支持政策。以人口流入多、房价高的城市为重点，扩大保障性租赁住房供给，着力解决困难群体和新市民住房问题。单列租赁住房用地计划，探索利用集体建设用地和企事业单位自有闲置土地建设租赁住房，支持将非住宅房屋新建为保障性租赁住房。完善土地出让收入分配机制，加大财税、金融支持力度。因地制宜发展共有产权住房。处理好基本保障和非基本保障的关系，完善住房保障方式，健全保障对象、准入门槛、退出管理等政策。改革完善住房公积金制度，健全缴存、使用、管理和运行机制</w:t>
      </w:r>
      <w:r>
        <w:rPr>
          <w:rFonts w:ascii="Times New Roman" w:hAnsi="Times New Roman" w:eastAsia="仿宋" w:cs="Times New Roman"/>
          <w:bCs/>
          <w:sz w:val="28"/>
          <w:szCs w:val="28"/>
        </w:rPr>
        <w:t>。</w:t>
      </w:r>
    </w:p>
    <w:p w14:paraId="0F9B57FC">
      <w:pPr>
        <w:widowControl/>
        <w:spacing w:line="360" w:lineRule="auto"/>
        <w:ind w:firstLine="560" w:firstLineChars="200"/>
        <w:rPr>
          <w:rFonts w:ascii="Times New Roman" w:hAnsi="Times New Roman" w:eastAsia="仿宋" w:cs="Times New Roman"/>
          <w:bCs/>
          <w:sz w:val="28"/>
          <w:szCs w:val="28"/>
        </w:rPr>
      </w:pPr>
      <w:r>
        <w:rPr>
          <w:rFonts w:hint="eastAsia" w:ascii="Times New Roman" w:hAnsi="Times New Roman" w:eastAsia="仿宋" w:cs="Times New Roman"/>
          <w:bCs/>
          <w:sz w:val="28"/>
          <w:szCs w:val="28"/>
        </w:rPr>
        <w:t>（2）四川省相关政策及规划</w:t>
      </w:r>
    </w:p>
    <w:p w14:paraId="7BEAC614">
      <w:pPr>
        <w:widowControl/>
        <w:spacing w:line="360" w:lineRule="auto"/>
        <w:ind w:firstLine="560" w:firstLineChars="200"/>
        <w:rPr>
          <w:rFonts w:ascii="Times New Roman" w:hAnsi="Times New Roman" w:eastAsia="仿宋" w:cs="Times New Roman"/>
          <w:bCs/>
          <w:sz w:val="28"/>
          <w:szCs w:val="28"/>
        </w:rPr>
      </w:pPr>
      <w:r>
        <w:rPr>
          <w:rFonts w:hint="eastAsia" w:ascii="Times New Roman" w:hAnsi="Times New Roman" w:eastAsia="仿宋" w:cs="Times New Roman"/>
          <w:bCs/>
          <w:sz w:val="28"/>
          <w:szCs w:val="28"/>
        </w:rPr>
        <w:t>《四川省国民经济和社会发展第十四个五年规划和二〇三五年远景目标纲要》进一步提出健全住房保障体系：建立健全租购并举的住房保障制度，实现城镇低保低收入住房困难家庭应保尽保，解决新市民为主的常住人口阶段性住房困难。实施保障标准动态调整和进入退出审核监管，规范发展公租房。完善长租房政策，探索支持利用集体建设用地按照规划建设租赁住房，扩大保障性租赁住房供给。因地制宜发展共有产权住房，稳妥推进棚户区改造。促进房地产市场平稳健康发展，坚持房子是用来住的，不是用来炒的定位，实施“一城一策”，落实城市主体责任，完善住房市场体系。构建“人、地、房”联动调节机制，保障住宅用地供应。优化不同类型城市住房供应结构，提高成都市公租房、共有产权房和租赁住房占比。培育和发展住房租赁市场，健全租赁服务体系，规范交易服务管理。鼓励房地产开发企业转型发展。</w:t>
      </w:r>
    </w:p>
    <w:p w14:paraId="40906F97">
      <w:pPr>
        <w:widowControl/>
        <w:spacing w:line="360" w:lineRule="auto"/>
        <w:ind w:firstLine="560" w:firstLineChars="200"/>
        <w:rPr>
          <w:rFonts w:hint="eastAsia" w:ascii="Times New Roman" w:hAnsi="Times New Roman" w:eastAsia="仿宋" w:cs="Times New Roman"/>
          <w:bCs/>
          <w:sz w:val="28"/>
          <w:szCs w:val="28"/>
        </w:rPr>
      </w:pPr>
      <w:r>
        <w:rPr>
          <w:rFonts w:hint="eastAsia" w:ascii="Times New Roman" w:hAnsi="Times New Roman" w:eastAsia="仿宋" w:cs="Times New Roman"/>
          <w:bCs/>
          <w:sz w:val="28"/>
          <w:szCs w:val="28"/>
        </w:rPr>
        <w:t>（3）眉山市相关政策及规划</w:t>
      </w:r>
    </w:p>
    <w:p w14:paraId="5E3E2DCD">
      <w:pPr>
        <w:widowControl/>
        <w:spacing w:line="360" w:lineRule="auto"/>
        <w:ind w:firstLine="560" w:firstLineChars="200"/>
        <w:rPr>
          <w:rFonts w:hint="eastAsia" w:ascii="Times New Roman" w:hAnsi="Times New Roman" w:eastAsia="仿宋" w:cs="Times New Roman"/>
          <w:bCs/>
          <w:sz w:val="28"/>
          <w:szCs w:val="28"/>
        </w:rPr>
      </w:pPr>
      <w:r>
        <w:rPr>
          <w:rFonts w:hint="eastAsia" w:ascii="Times New Roman" w:hAnsi="Times New Roman" w:eastAsia="仿宋" w:cs="Times New Roman"/>
          <w:bCs/>
          <w:sz w:val="28"/>
          <w:szCs w:val="28"/>
        </w:rPr>
        <w:t>《眉山市国民经济和社会发展第十四个五年规划和二〇三五年远景目标纲要》：坚持“房住不炒”定位，租购并举、因城施策，有效增加保障性住房供给，促进房地产市场平稳健康发展。鼓励存量低效商办项目改造，深入推进集体土地租赁住房试点，持续规范和发展住房租赁市场，降低租赁住房税费负担，整顿租赁市场秩序，推动土地供应向租赁住房建设倾斜。优化住房供应空间布局，促进职住平衡。发挥业委会（物管会）和物业行业协会作用，开展物业管理突出问题专项治理，着力提高物业服务水平。鼓励用市场化手段破解老旧小区、失管弃管小区物管难题，推动物业服务市场健康发展。</w:t>
      </w:r>
    </w:p>
    <w:p w14:paraId="54511140">
      <w:pPr>
        <w:pStyle w:val="5"/>
        <w:spacing w:before="0" w:after="0" w:line="360" w:lineRule="auto"/>
        <w:rPr>
          <w:rFonts w:ascii="Times New Roman" w:hAnsi="Times New Roman" w:eastAsia="仿宋" w:cs="Times New Roman"/>
        </w:rPr>
      </w:pPr>
      <w:bookmarkStart w:id="5" w:name="_Toc30768"/>
      <w:bookmarkStart w:id="6" w:name="_Toc19274"/>
      <w:bookmarkStart w:id="7" w:name="_Toc30057"/>
      <w:bookmarkStart w:id="8" w:name="_Toc8651"/>
      <w:bookmarkStart w:id="9" w:name="_Toc21332"/>
      <w:bookmarkStart w:id="10" w:name="_Toc3378"/>
      <w:bookmarkStart w:id="11" w:name="_Toc9841"/>
      <w:bookmarkStart w:id="12" w:name="_Toc18204"/>
      <w:bookmarkStart w:id="13" w:name="_Toc29490"/>
      <w:r>
        <w:rPr>
          <w:rFonts w:ascii="Times New Roman" w:hAnsi="Times New Roman" w:eastAsia="仿宋" w:cs="Times New Roman"/>
        </w:rPr>
        <w:t>（二）项目情况</w:t>
      </w:r>
      <w:bookmarkEnd w:id="5"/>
      <w:bookmarkEnd w:id="6"/>
      <w:bookmarkEnd w:id="7"/>
      <w:bookmarkEnd w:id="8"/>
      <w:bookmarkEnd w:id="9"/>
      <w:bookmarkEnd w:id="10"/>
      <w:bookmarkEnd w:id="11"/>
      <w:bookmarkEnd w:id="12"/>
    </w:p>
    <w:p w14:paraId="450FA9AA">
      <w:pPr>
        <w:pStyle w:val="6"/>
        <w:keepNext w:val="0"/>
        <w:keepLines w:val="0"/>
        <w:spacing w:before="0" w:after="0" w:line="360" w:lineRule="auto"/>
        <w:ind w:firstLine="562" w:firstLineChars="200"/>
        <w:rPr>
          <w:rFonts w:ascii="Times New Roman" w:hAnsi="Times New Roman" w:eastAsia="仿宋" w:cs="Times New Roman"/>
          <w:sz w:val="28"/>
          <w:szCs w:val="28"/>
        </w:rPr>
      </w:pPr>
      <w:bookmarkStart w:id="14" w:name="_Toc23988"/>
      <w:bookmarkStart w:id="15" w:name="_Toc21872"/>
      <w:bookmarkStart w:id="16" w:name="_Toc6078"/>
      <w:bookmarkStart w:id="17" w:name="_Toc9265"/>
      <w:bookmarkStart w:id="18" w:name="_Toc1064"/>
      <w:bookmarkStart w:id="19" w:name="_Toc14119"/>
      <w:bookmarkStart w:id="20" w:name="_Toc11692"/>
      <w:bookmarkStart w:id="21" w:name="_Toc7914"/>
      <w:r>
        <w:rPr>
          <w:rFonts w:ascii="Times New Roman" w:hAnsi="Times New Roman" w:eastAsia="仿宋" w:cs="Times New Roman"/>
          <w:sz w:val="28"/>
          <w:szCs w:val="28"/>
        </w:rPr>
        <w:t>1.参与主体</w:t>
      </w:r>
      <w:bookmarkEnd w:id="14"/>
      <w:bookmarkEnd w:id="15"/>
      <w:bookmarkEnd w:id="16"/>
      <w:bookmarkEnd w:id="17"/>
      <w:bookmarkEnd w:id="18"/>
      <w:bookmarkEnd w:id="19"/>
      <w:bookmarkEnd w:id="20"/>
      <w:bookmarkEnd w:id="21"/>
    </w:p>
    <w:p w14:paraId="04ECC603">
      <w:pPr>
        <w:widowControl/>
        <w:spacing w:line="360" w:lineRule="auto"/>
        <w:ind w:firstLine="560" w:firstLineChars="200"/>
        <w:rPr>
          <w:rFonts w:ascii="Times New Roman" w:hAnsi="Times New Roman" w:eastAsia="仿宋" w:cs="Times New Roman"/>
          <w:caps/>
          <w:sz w:val="28"/>
          <w:szCs w:val="28"/>
        </w:rPr>
      </w:pPr>
      <w:r>
        <w:rPr>
          <w:rFonts w:ascii="Times New Roman" w:hAnsi="Times New Roman" w:eastAsia="仿宋" w:cs="Times New Roman"/>
          <w:caps/>
          <w:sz w:val="28"/>
          <w:szCs w:val="28"/>
        </w:rPr>
        <w:t>实施机构：</w:t>
      </w:r>
      <w:r>
        <w:rPr>
          <w:rFonts w:hint="eastAsia" w:ascii="Times New Roman" w:hAnsi="Times New Roman" w:eastAsia="仿宋" w:cs="Times New Roman"/>
          <w:bCs/>
          <w:sz w:val="28"/>
          <w:szCs w:val="28"/>
        </w:rPr>
        <w:t>甘眉工业园区管理委员会</w:t>
      </w:r>
      <w:r>
        <w:rPr>
          <w:rFonts w:ascii="Times New Roman" w:hAnsi="Times New Roman" w:eastAsia="仿宋" w:cs="Times New Roman"/>
          <w:bCs/>
          <w:sz w:val="28"/>
          <w:szCs w:val="28"/>
        </w:rPr>
        <w:t>；</w:t>
      </w:r>
    </w:p>
    <w:p w14:paraId="0A75201C">
      <w:pPr>
        <w:spacing w:line="360" w:lineRule="auto"/>
        <w:ind w:firstLine="560" w:firstLineChars="200"/>
        <w:rPr>
          <w:rFonts w:ascii="Times New Roman" w:hAnsi="Times New Roman" w:eastAsia="仿宋" w:cs="Times New Roman"/>
          <w:bCs/>
          <w:sz w:val="28"/>
          <w:szCs w:val="28"/>
        </w:rPr>
      </w:pPr>
      <w:r>
        <w:rPr>
          <w:rFonts w:ascii="Times New Roman" w:hAnsi="Times New Roman" w:eastAsia="仿宋" w:cs="Times New Roman"/>
          <w:caps/>
          <w:sz w:val="28"/>
          <w:szCs w:val="28"/>
        </w:rPr>
        <w:t>业主单位：</w:t>
      </w:r>
      <w:r>
        <w:rPr>
          <w:rFonts w:hint="eastAsia" w:ascii="Times New Roman" w:hAnsi="Times New Roman" w:eastAsia="仿宋" w:cs="Times New Roman"/>
          <w:bCs/>
          <w:sz w:val="28"/>
          <w:szCs w:val="28"/>
        </w:rPr>
        <w:t>眉山甘眉建设发展有限公司</w:t>
      </w:r>
      <w:r>
        <w:rPr>
          <w:rFonts w:ascii="Times New Roman" w:hAnsi="Times New Roman" w:eastAsia="仿宋" w:cs="Times New Roman"/>
          <w:bCs/>
          <w:sz w:val="28"/>
          <w:szCs w:val="28"/>
        </w:rPr>
        <w:t>。</w:t>
      </w:r>
    </w:p>
    <w:p w14:paraId="4A5D7C6E">
      <w:pPr>
        <w:pStyle w:val="6"/>
        <w:keepNext w:val="0"/>
        <w:keepLines w:val="0"/>
        <w:spacing w:before="0" w:after="0" w:line="360" w:lineRule="auto"/>
        <w:ind w:firstLine="562" w:firstLineChars="200"/>
        <w:rPr>
          <w:rFonts w:ascii="Times New Roman" w:hAnsi="Times New Roman" w:eastAsia="仿宋" w:cs="Times New Roman"/>
          <w:sz w:val="28"/>
          <w:szCs w:val="28"/>
        </w:rPr>
      </w:pPr>
      <w:bookmarkStart w:id="22" w:name="_Toc9122"/>
      <w:bookmarkStart w:id="23" w:name="_Toc6630"/>
      <w:bookmarkStart w:id="24" w:name="_Toc4294"/>
      <w:bookmarkStart w:id="25" w:name="_Toc22356"/>
      <w:bookmarkStart w:id="26" w:name="_Toc16934"/>
      <w:bookmarkStart w:id="27" w:name="_Toc10923"/>
      <w:bookmarkStart w:id="28" w:name="_Toc14972"/>
      <w:bookmarkStart w:id="29" w:name="_Toc30046"/>
      <w:bookmarkStart w:id="30" w:name="_Toc5326"/>
      <w:r>
        <w:rPr>
          <w:rFonts w:ascii="Times New Roman" w:hAnsi="Times New Roman" w:eastAsia="仿宋" w:cs="Times New Roman"/>
          <w:sz w:val="28"/>
          <w:szCs w:val="28"/>
        </w:rPr>
        <w:t>2.项目概况</w:t>
      </w:r>
      <w:bookmarkEnd w:id="22"/>
      <w:bookmarkEnd w:id="23"/>
      <w:bookmarkEnd w:id="24"/>
      <w:bookmarkEnd w:id="25"/>
      <w:bookmarkEnd w:id="26"/>
      <w:bookmarkEnd w:id="27"/>
      <w:bookmarkEnd w:id="28"/>
      <w:bookmarkEnd w:id="29"/>
      <w:bookmarkEnd w:id="30"/>
    </w:p>
    <w:p w14:paraId="7F7B72E1">
      <w:pPr>
        <w:widowControl/>
        <w:spacing w:line="360" w:lineRule="auto"/>
        <w:ind w:firstLine="560" w:firstLineChars="200"/>
        <w:rPr>
          <w:rFonts w:ascii="Times New Roman" w:hAnsi="Times New Roman" w:eastAsia="仿宋" w:cs="Times New Roman"/>
          <w:caps/>
          <w:sz w:val="28"/>
          <w:szCs w:val="28"/>
        </w:rPr>
      </w:pPr>
      <w:r>
        <w:rPr>
          <w:rFonts w:ascii="Times New Roman" w:hAnsi="Times New Roman" w:eastAsia="仿宋" w:cs="Times New Roman"/>
          <w:caps/>
          <w:sz w:val="28"/>
          <w:szCs w:val="28"/>
        </w:rPr>
        <w:t>（1）项目名称：甘眉工业园保障性租赁住房建设项目。</w:t>
      </w:r>
    </w:p>
    <w:p w14:paraId="3DF329A9">
      <w:pPr>
        <w:widowControl/>
        <w:spacing w:line="360" w:lineRule="auto"/>
        <w:ind w:firstLine="560" w:firstLineChars="200"/>
        <w:rPr>
          <w:rFonts w:ascii="Times New Roman" w:hAnsi="Times New Roman" w:eastAsia="仿宋" w:cs="Times New Roman"/>
          <w:caps/>
          <w:sz w:val="28"/>
          <w:szCs w:val="28"/>
        </w:rPr>
      </w:pPr>
      <w:r>
        <w:rPr>
          <w:rFonts w:ascii="Times New Roman" w:hAnsi="Times New Roman" w:eastAsia="仿宋" w:cs="Times New Roman"/>
          <w:caps/>
          <w:sz w:val="28"/>
          <w:szCs w:val="28"/>
        </w:rPr>
        <w:t>（2）项目所属领域：</w:t>
      </w:r>
      <w:r>
        <w:rPr>
          <w:rFonts w:hint="eastAsia" w:ascii="Times New Roman" w:hAnsi="Times New Roman" w:eastAsia="仿宋" w:cs="Times New Roman"/>
          <w:caps/>
          <w:sz w:val="28"/>
          <w:szCs w:val="28"/>
        </w:rPr>
        <w:t>保障性安居工程-保障性租赁住房</w:t>
      </w:r>
      <w:r>
        <w:rPr>
          <w:rFonts w:ascii="Times New Roman" w:hAnsi="Times New Roman" w:eastAsia="仿宋" w:cs="Times New Roman"/>
          <w:caps/>
          <w:sz w:val="28"/>
          <w:szCs w:val="28"/>
        </w:rPr>
        <w:t>。</w:t>
      </w:r>
    </w:p>
    <w:p w14:paraId="3491FF0E">
      <w:pPr>
        <w:widowControl/>
        <w:spacing w:line="360" w:lineRule="auto"/>
        <w:ind w:firstLine="560" w:firstLineChars="200"/>
        <w:rPr>
          <w:rFonts w:ascii="Times New Roman" w:hAnsi="Times New Roman" w:eastAsia="仿宋" w:cs="Times New Roman"/>
          <w:caps/>
          <w:sz w:val="28"/>
          <w:szCs w:val="28"/>
        </w:rPr>
      </w:pPr>
      <w:r>
        <w:rPr>
          <w:rFonts w:ascii="Times New Roman" w:hAnsi="Times New Roman" w:eastAsia="仿宋" w:cs="Times New Roman"/>
          <w:caps/>
          <w:sz w:val="28"/>
          <w:szCs w:val="28"/>
        </w:rPr>
        <w:t>（3）项目建设工期：</w:t>
      </w:r>
      <w:r>
        <w:rPr>
          <w:rFonts w:hint="eastAsia" w:ascii="Times New Roman" w:hAnsi="Times New Roman" w:eastAsia="仿宋" w:cs="Times New Roman"/>
          <w:caps/>
          <w:sz w:val="28"/>
          <w:szCs w:val="28"/>
        </w:rPr>
        <w:t>共计36个月</w:t>
      </w:r>
      <w:r>
        <w:rPr>
          <w:rFonts w:ascii="Times New Roman" w:hAnsi="Times New Roman" w:eastAsia="仿宋" w:cs="Times New Roman"/>
          <w:caps/>
          <w:sz w:val="28"/>
          <w:szCs w:val="28"/>
        </w:rPr>
        <w:t>。</w:t>
      </w:r>
    </w:p>
    <w:p w14:paraId="5FF27A93">
      <w:pPr>
        <w:widowControl/>
        <w:spacing w:line="360" w:lineRule="auto"/>
        <w:ind w:firstLine="560" w:firstLineChars="200"/>
        <w:rPr>
          <w:rFonts w:ascii="Times New Roman" w:hAnsi="Times New Roman" w:eastAsia="仿宋" w:cs="Times New Roman"/>
          <w:caps/>
          <w:sz w:val="28"/>
          <w:szCs w:val="28"/>
        </w:rPr>
      </w:pPr>
      <w:r>
        <w:rPr>
          <w:rFonts w:ascii="Times New Roman" w:hAnsi="Times New Roman" w:eastAsia="仿宋" w:cs="Times New Roman"/>
          <w:caps/>
          <w:sz w:val="28"/>
          <w:szCs w:val="28"/>
        </w:rPr>
        <w:t>（4）项目区位：</w:t>
      </w:r>
      <w:r>
        <w:rPr>
          <w:rFonts w:hint="eastAsia" w:ascii="Times New Roman" w:hAnsi="Times New Roman" w:eastAsia="仿宋" w:cs="Times New Roman"/>
          <w:caps/>
          <w:sz w:val="28"/>
          <w:szCs w:val="28"/>
        </w:rPr>
        <w:t>甘眉工业园区内</w:t>
      </w:r>
      <w:r>
        <w:rPr>
          <w:rFonts w:ascii="Times New Roman" w:hAnsi="Times New Roman" w:eastAsia="仿宋" w:cs="Times New Roman"/>
          <w:caps/>
          <w:sz w:val="28"/>
          <w:szCs w:val="28"/>
        </w:rPr>
        <w:t>。</w:t>
      </w:r>
    </w:p>
    <w:p w14:paraId="745545F8">
      <w:pPr>
        <w:widowControl/>
        <w:spacing w:line="360" w:lineRule="auto"/>
        <w:ind w:firstLine="560" w:firstLineChars="200"/>
        <w:rPr>
          <w:rFonts w:ascii="Times New Roman" w:hAnsi="Times New Roman" w:eastAsia="仿宋" w:cs="Times New Roman"/>
        </w:rPr>
      </w:pPr>
      <w:r>
        <w:rPr>
          <w:rFonts w:ascii="Times New Roman" w:hAnsi="Times New Roman" w:eastAsia="仿宋" w:cs="Times New Roman"/>
          <w:caps/>
          <w:sz w:val="28"/>
          <w:szCs w:val="28"/>
        </w:rPr>
        <w:t>（5）项目说明：本项目为新建工程，本项目资产无抵押或质押情况。</w:t>
      </w:r>
    </w:p>
    <w:p w14:paraId="066A42DE">
      <w:pPr>
        <w:spacing w:line="360" w:lineRule="auto"/>
        <w:ind w:firstLine="560" w:firstLineChars="200"/>
        <w:rPr>
          <w:rFonts w:ascii="Times New Roman" w:hAnsi="Times New Roman" w:eastAsia="仿宋" w:cs="Times New Roman"/>
          <w:caps/>
          <w:sz w:val="28"/>
          <w:szCs w:val="28"/>
        </w:rPr>
      </w:pPr>
      <w:r>
        <w:rPr>
          <w:rFonts w:ascii="Times New Roman" w:hAnsi="Times New Roman" w:eastAsia="仿宋" w:cs="Times New Roman"/>
          <w:caps/>
          <w:sz w:val="28"/>
          <w:szCs w:val="28"/>
        </w:rPr>
        <w:t>（6）建设内容：</w:t>
      </w:r>
      <w:r>
        <w:rPr>
          <w:rFonts w:hint="eastAsia" w:ascii="Times New Roman" w:hAnsi="Times New Roman" w:eastAsia="仿宋" w:cs="Times New Roman"/>
          <w:caps/>
          <w:sz w:val="28"/>
          <w:szCs w:val="28"/>
        </w:rPr>
        <w:t>项目占地90亩，总建筑面积24.3万平方米，其中地上建筑面积22.8万平方米，地下建筑面积1.5万平方米</w:t>
      </w:r>
      <w:r>
        <w:rPr>
          <w:rFonts w:ascii="Times New Roman" w:hAnsi="Times New Roman" w:eastAsia="仿宋" w:cs="Times New Roman"/>
          <w:caps/>
          <w:sz w:val="28"/>
          <w:szCs w:val="28"/>
        </w:rPr>
        <w:t>。</w:t>
      </w:r>
    </w:p>
    <w:bookmarkEnd w:id="13"/>
    <w:p w14:paraId="3593F738">
      <w:pPr>
        <w:keepNext/>
        <w:spacing w:before="326" w:beforeLines="100" w:line="360" w:lineRule="auto"/>
        <w:outlineLvl w:val="0"/>
        <w:rPr>
          <w:rFonts w:ascii="Times New Roman" w:hAnsi="Times New Roman" w:eastAsia="仿宋" w:cs="Times New Roman"/>
          <w:b/>
          <w:bCs/>
          <w:sz w:val="32"/>
          <w:szCs w:val="32"/>
        </w:rPr>
      </w:pPr>
      <w:bookmarkStart w:id="31" w:name="_Toc533440322"/>
      <w:bookmarkStart w:id="32" w:name="_Toc1403"/>
      <w:bookmarkStart w:id="33" w:name="_Toc1720132"/>
      <w:bookmarkStart w:id="34" w:name="_Toc523481534"/>
      <w:bookmarkStart w:id="35" w:name="_Toc522211065"/>
      <w:r>
        <w:rPr>
          <w:rFonts w:ascii="Times New Roman" w:hAnsi="Times New Roman" w:eastAsia="仿宋" w:cs="Times New Roman"/>
          <w:b/>
          <w:bCs/>
          <w:sz w:val="32"/>
          <w:szCs w:val="32"/>
        </w:rPr>
        <w:t>二、经济社会效益分析</w:t>
      </w:r>
      <w:bookmarkEnd w:id="31"/>
      <w:bookmarkEnd w:id="32"/>
      <w:bookmarkEnd w:id="33"/>
      <w:bookmarkEnd w:id="34"/>
      <w:bookmarkEnd w:id="35"/>
    </w:p>
    <w:p w14:paraId="087FFE82">
      <w:pPr>
        <w:pStyle w:val="5"/>
        <w:spacing w:before="0" w:after="0" w:line="360" w:lineRule="auto"/>
        <w:rPr>
          <w:rFonts w:ascii="Times New Roman" w:hAnsi="Times New Roman" w:eastAsia="仿宋" w:cs="Times New Roman"/>
        </w:rPr>
      </w:pPr>
      <w:bookmarkStart w:id="36" w:name="_Toc533440323"/>
      <w:bookmarkStart w:id="37" w:name="_Toc522211066"/>
      <w:bookmarkStart w:id="38" w:name="_Toc523481535"/>
      <w:bookmarkStart w:id="39" w:name="_Toc1720133"/>
      <w:bookmarkStart w:id="40" w:name="_Toc17794"/>
      <w:r>
        <w:rPr>
          <w:rFonts w:ascii="Times New Roman" w:hAnsi="Times New Roman" w:eastAsia="仿宋" w:cs="Times New Roman"/>
        </w:rPr>
        <w:t>（一）经济效益分析</w:t>
      </w:r>
      <w:bookmarkEnd w:id="36"/>
      <w:bookmarkEnd w:id="37"/>
      <w:bookmarkEnd w:id="38"/>
      <w:bookmarkEnd w:id="39"/>
      <w:bookmarkEnd w:id="40"/>
    </w:p>
    <w:p w14:paraId="566FB32F">
      <w:pPr>
        <w:spacing w:line="360" w:lineRule="auto"/>
        <w:ind w:firstLine="560" w:firstLineChars="200"/>
        <w:rPr>
          <w:rFonts w:hint="eastAsia" w:ascii="Times New Roman" w:hAnsi="Times New Roman" w:eastAsia="仿宋" w:cs="Times New Roman"/>
          <w:sz w:val="28"/>
          <w:szCs w:val="28"/>
        </w:rPr>
      </w:pPr>
      <w:bookmarkStart w:id="41" w:name="_Toc1720136"/>
      <w:bookmarkStart w:id="42" w:name="_Toc533440326"/>
      <w:bookmarkStart w:id="43" w:name="_Toc523481538"/>
      <w:bookmarkStart w:id="44" w:name="_Toc523157055"/>
      <w:bookmarkStart w:id="45" w:name="_Toc23271"/>
      <w:r>
        <w:rPr>
          <w:rFonts w:hint="eastAsia" w:ascii="Times New Roman" w:hAnsi="Times New Roman" w:eastAsia="仿宋" w:cs="Times New Roman"/>
          <w:sz w:val="28"/>
          <w:szCs w:val="28"/>
        </w:rPr>
        <w:t>本项目属于民生项目，项目经济效益体现在带动创造大量的就业岗位，项目能扩大内需，为社会提供就业机会，推动区域经济发展。</w:t>
      </w:r>
    </w:p>
    <w:p w14:paraId="1639F847">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本项目建设规模较大、建设投资较高，项目的建设也极大提升了片区整体形象，对区域的招商引资、经济发展具有积极的推动作用。项目的建设，可以扩大内需、拉动地方经济，有利于其他行业的联动发展、保持经济平稳较快发展，同时也是实施眉山市远期规划的重要基础。</w:t>
      </w:r>
    </w:p>
    <w:p w14:paraId="48F68C57">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本项目的建设，将加大眉山市基础设施建设的投入，在项目建设期间，建设所用的绝大部分建筑材料、劳动力将由地方供应，可为当地建筑业提供一个不小的市场，由于对建筑材料和生活需求的增加，必将带动相关产业的发展，为社会创造更多的就业机会，推动区域经济的发展。</w:t>
      </w:r>
    </w:p>
    <w:p w14:paraId="67DF4403">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在项目运营期间，建设项目可刺激项目所在地对餐饮、住宿、旅游等产业的需求，促进该地区第三产业发展，同时项目的运营需要大量的相关产业服务人员，可以提供更多的就业岗位。因此，项目的建设与运营将对地方经济发展起到很好的直接和间接促进作用</w:t>
      </w:r>
      <w:r>
        <w:rPr>
          <w:rFonts w:ascii="Times New Roman" w:hAnsi="Times New Roman" w:eastAsia="仿宋" w:cs="Times New Roman"/>
          <w:sz w:val="28"/>
          <w:szCs w:val="28"/>
        </w:rPr>
        <w:t>。</w:t>
      </w:r>
    </w:p>
    <w:p w14:paraId="7B410FE9">
      <w:pPr>
        <w:pStyle w:val="5"/>
        <w:spacing w:before="0" w:after="0" w:line="360" w:lineRule="auto"/>
        <w:rPr>
          <w:rFonts w:ascii="Times New Roman" w:hAnsi="Times New Roman" w:eastAsia="仿宋" w:cs="Times New Roman"/>
        </w:rPr>
      </w:pPr>
      <w:r>
        <w:rPr>
          <w:rFonts w:ascii="Times New Roman" w:hAnsi="Times New Roman" w:eastAsia="仿宋" w:cs="Times New Roman"/>
        </w:rPr>
        <w:t>（二）社会效益分析</w:t>
      </w:r>
      <w:bookmarkEnd w:id="41"/>
      <w:bookmarkEnd w:id="42"/>
      <w:bookmarkEnd w:id="43"/>
      <w:bookmarkEnd w:id="44"/>
      <w:bookmarkEnd w:id="45"/>
    </w:p>
    <w:p w14:paraId="4C5C2CC1">
      <w:pPr>
        <w:spacing w:line="360" w:lineRule="auto"/>
        <w:ind w:firstLine="560" w:firstLineChars="200"/>
        <w:rPr>
          <w:rFonts w:hint="eastAsia" w:ascii="Times New Roman" w:hAnsi="Times New Roman" w:eastAsia="仿宋" w:cs="Times New Roman"/>
          <w:sz w:val="28"/>
          <w:szCs w:val="28"/>
        </w:rPr>
      </w:pPr>
      <w:bookmarkStart w:id="46" w:name="_Toc19320"/>
      <w:r>
        <w:rPr>
          <w:rFonts w:hint="eastAsia" w:ascii="Times New Roman" w:hAnsi="Times New Roman" w:eastAsia="仿宋" w:cs="Times New Roman"/>
          <w:sz w:val="28"/>
          <w:szCs w:val="28"/>
        </w:rPr>
        <w:t>本项目的建成能够进一步促进眉山市发展，项目的建设符合当前国家相关产业政策的要求，对于推进区域经济发展，推进区域产业功能调整具有积极的推动作用。</w:t>
      </w:r>
    </w:p>
    <w:p w14:paraId="072DD690">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1、可以充分发挥地方资源优势，发展地方经济，不仅具有良好的经济效益，同时还具有很好的社会效益，符合地方经济的可持续发展的要求。</w:t>
      </w:r>
    </w:p>
    <w:p w14:paraId="048CFBC0">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2、本项目建成运营后，可吸纳一定数量的就业人员，对于转移农村剩余劳动力，促进城镇居民就业和再就业，维护社会稳定，都具有重大的现实意义和深远的历史意义。</w:t>
      </w:r>
    </w:p>
    <w:p w14:paraId="4F9A515D">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3、本项目不会引发当地民族矛盾、宗教纠纷、影响当地社会的安定</w:t>
      </w:r>
      <w:r>
        <w:rPr>
          <w:rFonts w:ascii="Times New Roman" w:hAnsi="Times New Roman" w:eastAsia="仿宋" w:cs="Times New Roman"/>
          <w:sz w:val="28"/>
          <w:szCs w:val="28"/>
        </w:rPr>
        <w:t>。</w:t>
      </w:r>
    </w:p>
    <w:p w14:paraId="6E3031FA">
      <w:pPr>
        <w:spacing w:before="326" w:beforeLines="100" w:line="360" w:lineRule="auto"/>
        <w:outlineLvl w:val="0"/>
        <w:rPr>
          <w:rFonts w:ascii="Times New Roman" w:hAnsi="Times New Roman" w:eastAsia="仿宋" w:cs="Times New Roman"/>
          <w:b/>
          <w:bCs/>
          <w:sz w:val="32"/>
          <w:szCs w:val="32"/>
        </w:rPr>
      </w:pPr>
      <w:r>
        <w:rPr>
          <w:rFonts w:ascii="Times New Roman" w:hAnsi="Times New Roman" w:eastAsia="仿宋" w:cs="Times New Roman"/>
          <w:b/>
          <w:bCs/>
          <w:sz w:val="32"/>
          <w:szCs w:val="32"/>
        </w:rPr>
        <w:t>三、项目投资估算与资金筹措方案</w:t>
      </w:r>
      <w:bookmarkEnd w:id="46"/>
    </w:p>
    <w:p w14:paraId="49FA31D1">
      <w:pPr>
        <w:pStyle w:val="5"/>
        <w:spacing w:before="0" w:after="0" w:line="360" w:lineRule="auto"/>
        <w:rPr>
          <w:rFonts w:ascii="Times New Roman" w:hAnsi="Times New Roman" w:eastAsia="仿宋" w:cs="Times New Roman"/>
        </w:rPr>
      </w:pPr>
      <w:bookmarkStart w:id="47" w:name="_Toc1720145"/>
      <w:bookmarkStart w:id="48" w:name="_Toc522211078"/>
      <w:bookmarkStart w:id="49" w:name="_Toc523157062"/>
      <w:bookmarkStart w:id="50" w:name="_Toc5108"/>
      <w:bookmarkStart w:id="51" w:name="_Toc533440335"/>
      <w:bookmarkStart w:id="52" w:name="_Toc523481542"/>
      <w:r>
        <w:rPr>
          <w:rFonts w:ascii="Times New Roman" w:hAnsi="Times New Roman" w:eastAsia="仿宋" w:cs="Times New Roman"/>
        </w:rPr>
        <w:t>（一）投资估算</w:t>
      </w:r>
      <w:bookmarkEnd w:id="47"/>
      <w:bookmarkEnd w:id="48"/>
      <w:bookmarkEnd w:id="49"/>
      <w:bookmarkEnd w:id="50"/>
      <w:bookmarkEnd w:id="51"/>
      <w:bookmarkEnd w:id="52"/>
    </w:p>
    <w:p w14:paraId="1E55EB48">
      <w:pPr>
        <w:spacing w:line="360" w:lineRule="auto"/>
        <w:ind w:firstLine="560" w:firstLineChars="200"/>
        <w:rPr>
          <w:rFonts w:ascii="Times New Roman" w:hAnsi="Times New Roman" w:eastAsia="仿宋" w:cs="Times New Roman"/>
          <w:sz w:val="28"/>
          <w:szCs w:val="28"/>
        </w:rPr>
      </w:pPr>
      <w:bookmarkStart w:id="53" w:name="_Toc23109"/>
      <w:r>
        <w:rPr>
          <w:rFonts w:hint="eastAsia" w:ascii="Times New Roman" w:hAnsi="Times New Roman" w:eastAsia="仿宋" w:cs="Times New Roman"/>
          <w:sz w:val="28"/>
          <w:szCs w:val="28"/>
        </w:rPr>
        <w:t>本项目建设动态投资总额为98000.00万元，其中：工程费用71859.00万元；工程建设其他费用19878.07万元；预备费4050.93万元；建设期利息2176.00万元；债券发行费用36.00万元</w:t>
      </w:r>
      <w:r>
        <w:rPr>
          <w:rFonts w:ascii="Times New Roman" w:hAnsi="Times New Roman" w:eastAsia="仿宋" w:cs="Times New Roman"/>
          <w:sz w:val="28"/>
          <w:szCs w:val="28"/>
        </w:rPr>
        <w:t>。</w:t>
      </w:r>
    </w:p>
    <w:p w14:paraId="612FE027">
      <w:pPr>
        <w:pStyle w:val="5"/>
        <w:spacing w:before="0" w:after="0" w:line="360" w:lineRule="auto"/>
        <w:rPr>
          <w:rFonts w:ascii="Times New Roman" w:hAnsi="Times New Roman" w:eastAsia="仿宋" w:cs="Times New Roman"/>
        </w:rPr>
      </w:pPr>
      <w:r>
        <w:rPr>
          <w:rFonts w:ascii="Times New Roman" w:hAnsi="Times New Roman" w:eastAsia="仿宋" w:cs="Times New Roman"/>
        </w:rPr>
        <w:t>（二）资金筹措方案</w:t>
      </w:r>
      <w:bookmarkEnd w:id="53"/>
    </w:p>
    <w:p w14:paraId="04B71E73">
      <w:pPr>
        <w:pStyle w:val="6"/>
        <w:keepNext w:val="0"/>
        <w:keepLines w:val="0"/>
        <w:spacing w:before="0" w:after="0" w:line="360" w:lineRule="auto"/>
        <w:ind w:firstLine="562" w:firstLineChars="200"/>
        <w:rPr>
          <w:rFonts w:ascii="Times New Roman" w:hAnsi="Times New Roman" w:eastAsia="仿宋" w:cs="Times New Roman"/>
          <w:sz w:val="28"/>
          <w:szCs w:val="28"/>
        </w:rPr>
      </w:pPr>
      <w:bookmarkStart w:id="54" w:name="_Toc522211083"/>
      <w:bookmarkStart w:id="55" w:name="_Toc1720150"/>
      <w:bookmarkStart w:id="56" w:name="_Toc19703"/>
      <w:bookmarkStart w:id="57" w:name="_Toc523157067"/>
      <w:bookmarkStart w:id="58" w:name="_Toc523481547"/>
      <w:bookmarkStart w:id="59" w:name="_Toc533440340"/>
      <w:bookmarkStart w:id="60" w:name="_Toc20821"/>
      <w:r>
        <w:rPr>
          <w:rFonts w:ascii="Times New Roman" w:hAnsi="Times New Roman" w:eastAsia="仿宋" w:cs="Times New Roman"/>
          <w:sz w:val="28"/>
          <w:szCs w:val="28"/>
        </w:rPr>
        <w:t>1.资金来源</w:t>
      </w:r>
      <w:bookmarkEnd w:id="54"/>
      <w:bookmarkEnd w:id="55"/>
      <w:bookmarkEnd w:id="56"/>
      <w:bookmarkEnd w:id="57"/>
      <w:bookmarkEnd w:id="58"/>
      <w:bookmarkEnd w:id="59"/>
      <w:bookmarkEnd w:id="60"/>
    </w:p>
    <w:p w14:paraId="0DBBBCF0">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资本金来源：资本金均来源于业主自筹，项目资本金62000.00万元。</w:t>
      </w:r>
    </w:p>
    <w:p w14:paraId="08E34C2F">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融资来源：本项目拟发行30年期政府专项债券总额为36000.00万元。其中：第1年申请发行专项债券10000.00万元，第2年申请发行专项债券12000.00万元，第3年申请发行专项债券14000.00万元</w:t>
      </w:r>
      <w:r>
        <w:rPr>
          <w:rFonts w:ascii="Times New Roman" w:hAnsi="Times New Roman" w:eastAsia="仿宋" w:cs="Times New Roman"/>
          <w:sz w:val="28"/>
          <w:szCs w:val="28"/>
        </w:rPr>
        <w:t>。</w:t>
      </w:r>
    </w:p>
    <w:p w14:paraId="12EE6BB6">
      <w:pPr>
        <w:pStyle w:val="6"/>
        <w:keepLines w:val="0"/>
        <w:spacing w:before="0" w:after="0" w:line="360" w:lineRule="auto"/>
        <w:ind w:firstLine="562" w:firstLineChars="200"/>
        <w:rPr>
          <w:rFonts w:ascii="Times New Roman" w:hAnsi="Times New Roman" w:eastAsia="仿宋" w:cs="Times New Roman"/>
          <w:sz w:val="28"/>
          <w:szCs w:val="28"/>
        </w:rPr>
      </w:pPr>
      <w:bookmarkStart w:id="61" w:name="_Toc533440342"/>
      <w:bookmarkStart w:id="62" w:name="_Toc523157069"/>
      <w:bookmarkStart w:id="63" w:name="_Toc523481549"/>
      <w:bookmarkStart w:id="64" w:name="_Toc1720152"/>
      <w:bookmarkStart w:id="65" w:name="_Toc25776"/>
      <w:r>
        <w:rPr>
          <w:rFonts w:ascii="Times New Roman" w:hAnsi="Times New Roman" w:eastAsia="仿宋" w:cs="Times New Roman"/>
          <w:sz w:val="28"/>
          <w:szCs w:val="28"/>
        </w:rPr>
        <w:t>2.资金使用计划</w:t>
      </w:r>
      <w:bookmarkEnd w:id="61"/>
      <w:bookmarkEnd w:id="62"/>
      <w:bookmarkEnd w:id="63"/>
      <w:bookmarkEnd w:id="64"/>
      <w:bookmarkEnd w:id="65"/>
    </w:p>
    <w:p w14:paraId="5FA6E747">
      <w:pPr>
        <w:spacing w:line="360" w:lineRule="auto"/>
        <w:ind w:firstLine="560" w:firstLineChars="200"/>
        <w:rPr>
          <w:rFonts w:ascii="Times New Roman" w:hAnsi="Times New Roman" w:eastAsia="仿宋" w:cs="Times New Roman"/>
          <w:sz w:val="28"/>
          <w:szCs w:val="28"/>
        </w:rPr>
      </w:pPr>
      <w:bookmarkStart w:id="66" w:name="_Toc9196"/>
      <w:r>
        <w:rPr>
          <w:rFonts w:ascii="Times New Roman" w:hAnsi="Times New Roman" w:eastAsia="仿宋" w:cs="Times New Roman"/>
          <w:sz w:val="28"/>
          <w:szCs w:val="28"/>
        </w:rPr>
        <w:t>项目所筹资金将根据项目实施计划和实时建设进度来进行合理分配，且将全部投资于本项目，具体数额应当根据进度支出。在保证项目工程投资资金充足的情况下，充分利用且不浪费当年度专项债券融资额度。按照建设进度投入</w:t>
      </w:r>
      <w:r>
        <w:rPr>
          <w:rFonts w:hint="eastAsia" w:ascii="Times New Roman" w:hAnsi="Times New Roman" w:eastAsia="仿宋" w:cs="Times New Roman"/>
          <w:sz w:val="28"/>
          <w:szCs w:val="28"/>
        </w:rPr>
        <w:t>使用</w:t>
      </w:r>
      <w:r>
        <w:rPr>
          <w:rFonts w:ascii="Times New Roman" w:hAnsi="Times New Roman" w:eastAsia="仿宋" w:cs="Times New Roman"/>
          <w:sz w:val="28"/>
          <w:szCs w:val="28"/>
        </w:rPr>
        <w:t>。</w:t>
      </w:r>
    </w:p>
    <w:p w14:paraId="2103778C">
      <w:pPr>
        <w:spacing w:before="326" w:beforeLines="100" w:line="360" w:lineRule="auto"/>
        <w:outlineLvl w:val="0"/>
        <w:rPr>
          <w:rFonts w:ascii="Times New Roman" w:hAnsi="Times New Roman" w:eastAsia="仿宋" w:cs="Times New Roman"/>
          <w:b/>
          <w:bCs/>
          <w:sz w:val="32"/>
          <w:szCs w:val="32"/>
        </w:rPr>
      </w:pPr>
      <w:r>
        <w:rPr>
          <w:rFonts w:ascii="Times New Roman" w:hAnsi="Times New Roman" w:eastAsia="仿宋" w:cs="Times New Roman"/>
          <w:b/>
          <w:bCs/>
          <w:sz w:val="32"/>
          <w:szCs w:val="32"/>
        </w:rPr>
        <w:t>四、项目预期收益、成本及融资平衡情况</w:t>
      </w:r>
      <w:bookmarkEnd w:id="66"/>
    </w:p>
    <w:p w14:paraId="1D0DE6CA">
      <w:pPr>
        <w:pStyle w:val="5"/>
        <w:spacing w:before="0" w:after="0" w:line="360" w:lineRule="auto"/>
        <w:rPr>
          <w:rFonts w:ascii="Times New Roman" w:hAnsi="Times New Roman" w:eastAsia="仿宋" w:cs="Times New Roman"/>
        </w:rPr>
      </w:pPr>
      <w:bookmarkStart w:id="67" w:name="_Toc1720155"/>
      <w:bookmarkStart w:id="68" w:name="_Toc523157072"/>
      <w:bookmarkStart w:id="69" w:name="_Toc522211088"/>
      <w:bookmarkStart w:id="70" w:name="_Toc533440345"/>
      <w:bookmarkStart w:id="71" w:name="_Toc27170"/>
      <w:bookmarkStart w:id="72" w:name="_Toc523481552"/>
      <w:r>
        <w:rPr>
          <w:rFonts w:ascii="Times New Roman" w:hAnsi="Times New Roman" w:eastAsia="仿宋" w:cs="Times New Roman"/>
        </w:rPr>
        <w:t>（一）预期收益</w:t>
      </w:r>
      <w:bookmarkEnd w:id="67"/>
      <w:bookmarkEnd w:id="68"/>
      <w:bookmarkEnd w:id="69"/>
      <w:bookmarkEnd w:id="70"/>
      <w:bookmarkEnd w:id="71"/>
      <w:bookmarkEnd w:id="72"/>
    </w:p>
    <w:p w14:paraId="395B9E50">
      <w:pPr>
        <w:pStyle w:val="6"/>
        <w:keepNext w:val="0"/>
        <w:keepLines w:val="0"/>
        <w:spacing w:before="0" w:after="0" w:line="360" w:lineRule="auto"/>
        <w:ind w:firstLine="562" w:firstLineChars="200"/>
        <w:rPr>
          <w:rFonts w:ascii="Times New Roman" w:hAnsi="Times New Roman" w:eastAsia="仿宋" w:cs="Times New Roman"/>
          <w:sz w:val="28"/>
          <w:szCs w:val="28"/>
        </w:rPr>
      </w:pPr>
      <w:r>
        <w:rPr>
          <w:rFonts w:ascii="Times New Roman" w:hAnsi="Times New Roman" w:eastAsia="仿宋" w:cs="Times New Roman"/>
          <w:sz w:val="28"/>
          <w:szCs w:val="28"/>
        </w:rPr>
        <w:t>1.项目收入预测</w:t>
      </w:r>
    </w:p>
    <w:p w14:paraId="0AD52F1E">
      <w:pPr>
        <w:spacing w:line="360" w:lineRule="auto"/>
        <w:ind w:firstLine="560" w:firstLineChars="200"/>
        <w:rPr>
          <w:rFonts w:ascii="Times New Roman" w:hAnsi="Times New Roman" w:eastAsia="仿宋" w:cs="Times New Roman"/>
          <w:b/>
          <w:bCs/>
          <w:kern w:val="0"/>
          <w:sz w:val="28"/>
          <w:szCs w:val="28"/>
        </w:rPr>
      </w:pPr>
      <w:r>
        <w:rPr>
          <w:rStyle w:val="50"/>
          <w:rFonts w:hint="eastAsia" w:cs="Times New Roman"/>
        </w:rPr>
        <w:t>收入来源主要为保障性住房租赁收入、配套商业服务房租赁收入、物业收入、临时停车费收入、停车位月租收入</w:t>
      </w:r>
      <w:r>
        <w:rPr>
          <w:rStyle w:val="50"/>
          <w:rFonts w:cs="Times New Roman"/>
        </w:rPr>
        <w:t>。</w:t>
      </w:r>
      <w:bookmarkStart w:id="73" w:name="_Hlk104366639"/>
      <w:r>
        <w:rPr>
          <w:rStyle w:val="50"/>
          <w:rFonts w:cs="Times New Roman"/>
        </w:rPr>
        <w:t>项目计算期内预计可实现收入共计</w:t>
      </w:r>
      <w:bookmarkEnd w:id="73"/>
      <w:r>
        <w:rPr>
          <w:rStyle w:val="50"/>
          <w:rFonts w:cs="Times New Roman"/>
        </w:rPr>
        <w:t>149365.21万元。</w:t>
      </w:r>
    </w:p>
    <w:p w14:paraId="0000E414">
      <w:pPr>
        <w:pStyle w:val="6"/>
        <w:keepNext w:val="0"/>
        <w:keepLines w:val="0"/>
        <w:spacing w:before="0" w:after="0" w:line="360" w:lineRule="auto"/>
        <w:ind w:firstLine="562" w:firstLineChars="200"/>
        <w:rPr>
          <w:rFonts w:ascii="Times New Roman" w:hAnsi="Times New Roman" w:eastAsia="仿宋" w:cs="Times New Roman"/>
          <w:sz w:val="28"/>
          <w:szCs w:val="28"/>
        </w:rPr>
      </w:pPr>
      <w:r>
        <w:rPr>
          <w:rFonts w:ascii="Times New Roman" w:hAnsi="Times New Roman" w:eastAsia="仿宋" w:cs="Times New Roman"/>
          <w:sz w:val="28"/>
          <w:szCs w:val="28"/>
        </w:rPr>
        <w:t>2.成本预测</w:t>
      </w:r>
    </w:p>
    <w:p w14:paraId="3D3A8E62">
      <w:pPr>
        <w:spacing w:line="360" w:lineRule="auto"/>
        <w:ind w:firstLine="560" w:firstLineChars="200"/>
        <w:rPr>
          <w:rFonts w:ascii="Times New Roman" w:hAnsi="Times New Roman" w:eastAsia="仿宋" w:cs="Times New Roman"/>
          <w:sz w:val="28"/>
          <w:szCs w:val="28"/>
        </w:rPr>
      </w:pPr>
      <w:bookmarkStart w:id="74" w:name="_Toc373"/>
      <w:r>
        <w:rPr>
          <w:rFonts w:ascii="Times New Roman" w:hAnsi="Times New Roman" w:eastAsia="仿宋" w:cs="Times New Roman"/>
          <w:sz w:val="28"/>
          <w:szCs w:val="28"/>
        </w:rPr>
        <w:t>本项目成本包括：经营成本、固定资产折旧费、相关税费以及财务费用。项目计算期内预计产生总成本费用共计136281.37万元。</w:t>
      </w:r>
    </w:p>
    <w:p w14:paraId="0A752B82">
      <w:pPr>
        <w:pStyle w:val="6"/>
        <w:keepNext w:val="0"/>
        <w:keepLines w:val="0"/>
        <w:spacing w:before="0" w:after="0" w:line="360" w:lineRule="auto"/>
        <w:ind w:firstLine="562" w:firstLineChars="200"/>
        <w:rPr>
          <w:rFonts w:ascii="Times New Roman" w:hAnsi="Times New Roman" w:eastAsia="仿宋" w:cs="Times New Roman"/>
          <w:sz w:val="28"/>
          <w:szCs w:val="28"/>
        </w:rPr>
      </w:pPr>
      <w:r>
        <w:rPr>
          <w:rFonts w:ascii="Times New Roman" w:hAnsi="Times New Roman" w:eastAsia="仿宋" w:cs="Times New Roman"/>
          <w:sz w:val="28"/>
          <w:szCs w:val="28"/>
        </w:rPr>
        <w:t>3.项目损益</w:t>
      </w:r>
      <w:bookmarkEnd w:id="74"/>
    </w:p>
    <w:p w14:paraId="4C12DCB0">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综合上述专项收入、经营成本费用的估算，本项目在债券存续期内运营总收入预计为</w:t>
      </w:r>
      <w:r>
        <w:rPr>
          <w:rFonts w:ascii="Times New Roman" w:hAnsi="Times New Roman" w:eastAsia="仿宋" w:cs="Times New Roman"/>
          <w:sz w:val="28"/>
          <w:szCs w:val="28"/>
        </w:rPr>
        <w:t>149365.21</w:t>
      </w:r>
      <w:r>
        <w:rPr>
          <w:rFonts w:hint="eastAsia" w:ascii="Times New Roman" w:hAnsi="Times New Roman" w:eastAsia="仿宋" w:cs="Times New Roman"/>
          <w:sz w:val="28"/>
          <w:szCs w:val="28"/>
        </w:rPr>
        <w:t>万元，总成本预计为</w:t>
      </w:r>
      <w:r>
        <w:rPr>
          <w:rFonts w:ascii="Times New Roman" w:hAnsi="Times New Roman" w:eastAsia="仿宋" w:cs="Times New Roman"/>
          <w:sz w:val="28"/>
          <w:szCs w:val="28"/>
        </w:rPr>
        <w:t>136281.37</w:t>
      </w:r>
      <w:r>
        <w:rPr>
          <w:rFonts w:hint="eastAsia" w:ascii="Times New Roman" w:hAnsi="Times New Roman" w:eastAsia="仿宋" w:cs="Times New Roman"/>
          <w:sz w:val="28"/>
          <w:szCs w:val="28"/>
        </w:rPr>
        <w:t>万元，累计净利润为</w:t>
      </w:r>
      <w:r>
        <w:rPr>
          <w:rFonts w:ascii="Times New Roman" w:hAnsi="Times New Roman" w:eastAsia="仿宋" w:cs="Times New Roman"/>
          <w:sz w:val="28"/>
          <w:szCs w:val="28"/>
        </w:rPr>
        <w:t>8891.66</w:t>
      </w:r>
      <w:r>
        <w:rPr>
          <w:rFonts w:hint="eastAsia" w:ascii="Times New Roman" w:hAnsi="Times New Roman" w:eastAsia="仿宋" w:cs="Times New Roman"/>
          <w:sz w:val="28"/>
          <w:szCs w:val="28"/>
        </w:rPr>
        <w:t>万元，本项目净现金流量累计</w:t>
      </w:r>
      <w:r>
        <w:rPr>
          <w:rFonts w:ascii="Times New Roman" w:hAnsi="Times New Roman" w:eastAsia="仿宋" w:cs="Times New Roman"/>
          <w:sz w:val="28"/>
          <w:szCs w:val="28"/>
        </w:rPr>
        <w:t>89382.17</w:t>
      </w:r>
      <w:r>
        <w:rPr>
          <w:rFonts w:hint="eastAsia" w:ascii="Times New Roman" w:hAnsi="Times New Roman" w:eastAsia="仿宋" w:cs="Times New Roman"/>
          <w:sz w:val="28"/>
          <w:szCs w:val="28"/>
        </w:rPr>
        <w:t>万元</w:t>
      </w:r>
      <w:r>
        <w:rPr>
          <w:rFonts w:ascii="Times New Roman" w:hAnsi="Times New Roman" w:eastAsia="仿宋" w:cs="Times New Roman"/>
          <w:sz w:val="28"/>
          <w:szCs w:val="28"/>
        </w:rPr>
        <w:t>。</w:t>
      </w:r>
    </w:p>
    <w:p w14:paraId="0AA92A33">
      <w:pPr>
        <w:pStyle w:val="5"/>
        <w:spacing w:before="0" w:after="0" w:line="360" w:lineRule="auto"/>
        <w:rPr>
          <w:rFonts w:ascii="Times New Roman" w:hAnsi="Times New Roman" w:eastAsia="仿宋" w:cs="Times New Roman"/>
        </w:rPr>
      </w:pPr>
      <w:r>
        <w:rPr>
          <w:rFonts w:ascii="Times New Roman" w:hAnsi="Times New Roman" w:eastAsia="仿宋" w:cs="Times New Roman"/>
        </w:rPr>
        <w:t>（二）资金测算平衡情况</w:t>
      </w:r>
    </w:p>
    <w:p w14:paraId="16C4AD56">
      <w:pPr>
        <w:pStyle w:val="6"/>
        <w:keepNext w:val="0"/>
        <w:keepLines w:val="0"/>
        <w:spacing w:before="0" w:after="0" w:line="360" w:lineRule="auto"/>
        <w:ind w:firstLine="562" w:firstLineChars="200"/>
        <w:rPr>
          <w:rFonts w:ascii="Times New Roman" w:hAnsi="Times New Roman" w:eastAsia="仿宋" w:cs="Times New Roman"/>
          <w:sz w:val="28"/>
          <w:szCs w:val="28"/>
        </w:rPr>
      </w:pPr>
      <w:bookmarkStart w:id="75" w:name="_Toc18760766"/>
      <w:bookmarkStart w:id="76" w:name="_Toc24256"/>
      <w:bookmarkStart w:id="77" w:name="_Toc1381"/>
      <w:bookmarkStart w:id="78" w:name="_Toc20333"/>
      <w:r>
        <w:rPr>
          <w:rFonts w:ascii="Times New Roman" w:hAnsi="Times New Roman" w:eastAsia="仿宋" w:cs="Times New Roman"/>
          <w:sz w:val="28"/>
          <w:szCs w:val="28"/>
        </w:rPr>
        <w:t>1.项目还本付息计划</w:t>
      </w:r>
      <w:bookmarkEnd w:id="75"/>
      <w:bookmarkEnd w:id="76"/>
      <w:bookmarkEnd w:id="77"/>
      <w:bookmarkEnd w:id="78"/>
    </w:p>
    <w:p w14:paraId="6A99EC73">
      <w:pPr>
        <w:spacing w:line="360" w:lineRule="auto"/>
        <w:ind w:firstLine="560" w:firstLineChars="200"/>
        <w:rPr>
          <w:rFonts w:ascii="Times New Roman" w:hAnsi="Times New Roman" w:eastAsia="仿宋" w:cs="Times New Roman"/>
          <w:bCs/>
          <w:color w:val="000000"/>
          <w:sz w:val="28"/>
          <w:szCs w:val="28"/>
        </w:rPr>
      </w:pPr>
      <w:bookmarkStart w:id="79" w:name="_Toc13883"/>
      <w:bookmarkStart w:id="80" w:name="_Toc12782"/>
      <w:bookmarkStart w:id="81" w:name="_Toc18760767"/>
      <w:bookmarkStart w:id="82" w:name="_Toc15443"/>
      <w:r>
        <w:rPr>
          <w:rFonts w:hint="eastAsia" w:ascii="Times New Roman" w:hAnsi="Times New Roman" w:eastAsia="仿宋" w:cs="Times New Roman"/>
          <w:bCs/>
          <w:color w:val="000000"/>
          <w:sz w:val="28"/>
          <w:szCs w:val="28"/>
        </w:rPr>
        <w:t>项目专项债券拟发行30年期债券，年利率3.2%。专项债券资金在建设期中按需投入，在建设期中只付息不还本。运营期中间只付息，不还本，期末到期还本。所有借款都在计算期最后一年还。假设专项债券均在每年年初发行；每半年度付息一次，期满一次偿还本金和最后一笔利息。债券存续期内累计需支付利息</w:t>
      </w:r>
      <w:r>
        <w:rPr>
          <w:rFonts w:ascii="Times New Roman" w:hAnsi="Times New Roman" w:eastAsia="仿宋" w:cs="Times New Roman"/>
          <w:bCs/>
          <w:color w:val="000000"/>
          <w:sz w:val="28"/>
          <w:szCs w:val="28"/>
        </w:rPr>
        <w:t>34560.00</w:t>
      </w:r>
      <w:r>
        <w:rPr>
          <w:rFonts w:hint="eastAsia" w:ascii="Times New Roman" w:hAnsi="Times New Roman" w:eastAsia="仿宋" w:cs="Times New Roman"/>
          <w:bCs/>
          <w:color w:val="000000"/>
          <w:sz w:val="28"/>
          <w:szCs w:val="28"/>
        </w:rPr>
        <w:t>万元，其中：专项债券建设期利息计</w:t>
      </w:r>
      <w:r>
        <w:rPr>
          <w:rFonts w:ascii="Times New Roman" w:hAnsi="Times New Roman" w:eastAsia="仿宋" w:cs="Times New Roman"/>
          <w:bCs/>
          <w:color w:val="000000"/>
          <w:sz w:val="28"/>
          <w:szCs w:val="28"/>
        </w:rPr>
        <w:t>2176.00</w:t>
      </w:r>
      <w:r>
        <w:rPr>
          <w:rFonts w:hint="eastAsia" w:ascii="Times New Roman" w:hAnsi="Times New Roman" w:eastAsia="仿宋" w:cs="Times New Roman"/>
          <w:bCs/>
          <w:color w:val="000000"/>
          <w:sz w:val="28"/>
          <w:szCs w:val="28"/>
        </w:rPr>
        <w:t>万元入总投资，专项债券在运营期间产生的利息费用计</w:t>
      </w:r>
      <w:r>
        <w:rPr>
          <w:rFonts w:ascii="Times New Roman" w:hAnsi="Times New Roman" w:eastAsia="仿宋" w:cs="Times New Roman"/>
          <w:bCs/>
          <w:color w:val="000000"/>
          <w:sz w:val="28"/>
          <w:szCs w:val="28"/>
        </w:rPr>
        <w:t>32384.00</w:t>
      </w:r>
      <w:r>
        <w:rPr>
          <w:rFonts w:hint="eastAsia" w:ascii="Times New Roman" w:hAnsi="Times New Roman" w:eastAsia="仿宋" w:cs="Times New Roman"/>
          <w:bCs/>
          <w:color w:val="000000"/>
          <w:sz w:val="28"/>
          <w:szCs w:val="28"/>
        </w:rPr>
        <w:t>万元</w:t>
      </w:r>
      <w:r>
        <w:rPr>
          <w:rFonts w:ascii="Times New Roman" w:hAnsi="Times New Roman" w:eastAsia="仿宋" w:cs="Times New Roman"/>
          <w:bCs/>
          <w:color w:val="000000"/>
          <w:sz w:val="28"/>
          <w:szCs w:val="28"/>
        </w:rPr>
        <w:t>。</w:t>
      </w:r>
    </w:p>
    <w:p w14:paraId="2E10D9EF">
      <w:pPr>
        <w:pStyle w:val="6"/>
        <w:keepNext w:val="0"/>
        <w:keepLines w:val="0"/>
        <w:spacing w:before="0" w:after="0" w:line="360" w:lineRule="auto"/>
        <w:ind w:firstLine="562" w:firstLineChars="200"/>
        <w:rPr>
          <w:rFonts w:ascii="Times New Roman" w:hAnsi="Times New Roman" w:eastAsia="仿宋" w:cs="Times New Roman"/>
          <w:sz w:val="28"/>
          <w:szCs w:val="28"/>
        </w:rPr>
      </w:pPr>
      <w:r>
        <w:rPr>
          <w:rFonts w:ascii="Times New Roman" w:hAnsi="Times New Roman" w:eastAsia="仿宋" w:cs="Times New Roman"/>
          <w:sz w:val="28"/>
          <w:szCs w:val="28"/>
        </w:rPr>
        <w:t>2.项目资金平衡情况</w:t>
      </w:r>
      <w:bookmarkEnd w:id="79"/>
      <w:bookmarkEnd w:id="80"/>
      <w:bookmarkEnd w:id="81"/>
      <w:bookmarkEnd w:id="82"/>
    </w:p>
    <w:p w14:paraId="7B958A31">
      <w:pPr>
        <w:spacing w:line="360" w:lineRule="auto"/>
        <w:ind w:firstLine="560" w:firstLineChars="200"/>
        <w:rPr>
          <w:rFonts w:ascii="Times New Roman" w:hAnsi="Times New Roman" w:eastAsia="仿宋" w:cs="Times New Roman"/>
          <w:sz w:val="28"/>
          <w:szCs w:val="28"/>
        </w:rPr>
        <w:sectPr>
          <w:headerReference r:id="rId3" w:type="default"/>
          <w:footerReference r:id="rId4" w:type="default"/>
          <w:type w:val="continuous"/>
          <w:pgSz w:w="11906" w:h="16838"/>
          <w:pgMar w:top="1440" w:right="1800" w:bottom="1440" w:left="1800" w:header="851" w:footer="992" w:gutter="0"/>
          <w:cols w:space="425" w:num="1"/>
          <w:docGrid w:type="lines" w:linePitch="326" w:charSpace="0"/>
        </w:sectPr>
      </w:pPr>
      <w:r>
        <w:rPr>
          <w:rFonts w:hint="eastAsia" w:ascii="Times New Roman" w:hAnsi="Times New Roman" w:eastAsia="仿宋" w:cs="Times New Roman"/>
          <w:sz w:val="28"/>
          <w:szCs w:val="28"/>
        </w:rPr>
        <w:t>若项目在满足上述资金筹集计划、项目实施计划、资金使用计划及预期收益的假设前提下，政府专项债到期日累计资金结余</w:t>
      </w:r>
      <w:r>
        <w:rPr>
          <w:rFonts w:ascii="Times New Roman" w:hAnsi="Times New Roman" w:eastAsia="仿宋" w:cs="Times New Roman"/>
          <w:sz w:val="28"/>
          <w:szCs w:val="28"/>
        </w:rPr>
        <w:t>49189.99</w:t>
      </w:r>
      <w:r>
        <w:rPr>
          <w:rFonts w:hint="eastAsia" w:ascii="Times New Roman" w:hAnsi="Times New Roman" w:eastAsia="仿宋" w:cs="Times New Roman"/>
          <w:sz w:val="28"/>
          <w:szCs w:val="28"/>
        </w:rPr>
        <w:t>万元，项目在预测期内可实现净现金流</w:t>
      </w:r>
      <w:r>
        <w:rPr>
          <w:rFonts w:ascii="Times New Roman" w:hAnsi="Times New Roman" w:eastAsia="仿宋" w:cs="Times New Roman"/>
          <w:sz w:val="28"/>
          <w:szCs w:val="28"/>
        </w:rPr>
        <w:t>89382.17</w:t>
      </w:r>
      <w:r>
        <w:rPr>
          <w:rFonts w:hint="eastAsia" w:ascii="Times New Roman" w:hAnsi="Times New Roman" w:eastAsia="仿宋" w:cs="Times New Roman"/>
          <w:sz w:val="28"/>
          <w:szCs w:val="28"/>
        </w:rPr>
        <w:t>万元，政府专项债券到期本息合计</w:t>
      </w:r>
      <w:r>
        <w:rPr>
          <w:rFonts w:ascii="Times New Roman" w:hAnsi="Times New Roman" w:eastAsia="仿宋" w:cs="Times New Roman"/>
          <w:sz w:val="28"/>
          <w:szCs w:val="28"/>
        </w:rPr>
        <w:t>70560.00</w:t>
      </w:r>
      <w:r>
        <w:rPr>
          <w:rFonts w:hint="eastAsia" w:ascii="Times New Roman" w:hAnsi="Times New Roman" w:eastAsia="仿宋" w:cs="Times New Roman"/>
          <w:sz w:val="28"/>
          <w:szCs w:val="28"/>
        </w:rPr>
        <w:t>万元，本项目净现金流/政府专项债本息的收益覆盖倍数为</w:t>
      </w:r>
      <w:r>
        <w:rPr>
          <w:rFonts w:ascii="Times New Roman" w:hAnsi="Times New Roman" w:eastAsia="仿宋" w:cs="Times New Roman"/>
          <w:sz w:val="28"/>
          <w:szCs w:val="28"/>
        </w:rPr>
        <w:t>1.27</w:t>
      </w:r>
      <w:r>
        <w:rPr>
          <w:rFonts w:hint="eastAsia" w:ascii="Times New Roman" w:hAnsi="Times New Roman" w:eastAsia="仿宋" w:cs="Times New Roman"/>
          <w:sz w:val="28"/>
          <w:szCs w:val="28"/>
        </w:rPr>
        <w:t>倍，期间不存在资金缺口</w:t>
      </w:r>
      <w:r>
        <w:rPr>
          <w:rFonts w:ascii="Times New Roman" w:hAnsi="Times New Roman" w:eastAsia="仿宋" w:cs="Times New Roman"/>
          <w:sz w:val="28"/>
          <w:szCs w:val="28"/>
        </w:rPr>
        <w:t>。资金测算平衡情况具体见表下表所示：</w:t>
      </w:r>
    </w:p>
    <w:p w14:paraId="0C785CCF">
      <w:pPr>
        <w:pStyle w:val="2"/>
        <w:spacing w:before="0" w:after="0" w:line="360" w:lineRule="auto"/>
        <w:ind w:firstLine="562"/>
        <w:jc w:val="center"/>
        <w:rPr>
          <w:rFonts w:ascii="Times New Roman" w:hAnsi="Times New Roman" w:eastAsia="仿宋" w:cs="Times New Roman"/>
          <w:b/>
          <w:bCs/>
          <w:sz w:val="28"/>
          <w:szCs w:val="28"/>
          <w:lang w:val="en-US"/>
        </w:rPr>
      </w:pPr>
      <w:r>
        <w:rPr>
          <w:rFonts w:ascii="Times New Roman" w:hAnsi="Times New Roman" w:eastAsia="仿宋" w:cs="Times New Roman"/>
          <w:b/>
          <w:bCs/>
          <w:sz w:val="28"/>
          <w:szCs w:val="28"/>
          <w:lang w:val="en-US"/>
        </w:rPr>
        <w:t>资金平衡测算表（总表）（单位：万元）</w:t>
      </w:r>
    </w:p>
    <w:p w14:paraId="32E364A6">
      <w:pPr>
        <w:pStyle w:val="2"/>
        <w:spacing w:before="0" w:after="0" w:line="360" w:lineRule="auto"/>
        <w:ind w:firstLine="0"/>
        <w:rPr>
          <w:rFonts w:ascii="Times New Roman" w:hAnsi="Times New Roman" w:eastAsia="仿宋" w:cs="Times New Roman"/>
          <w:b/>
          <w:bCs/>
          <w:sz w:val="28"/>
          <w:szCs w:val="28"/>
          <w:lang w:val="en-US"/>
        </w:rPr>
      </w:pPr>
      <w:r>
        <w:rPr>
          <w:rFonts w:ascii="Times New Roman" w:hAnsi="Times New Roman" w:eastAsia="仿宋" w:cs="Times New Roman"/>
          <w:b/>
          <w:bCs/>
          <w:sz w:val="28"/>
          <w:szCs w:val="28"/>
          <w:lang w:val="en-US"/>
        </w:rPr>
        <w:drawing>
          <wp:inline distT="0" distB="0" distL="0" distR="0">
            <wp:extent cx="9779000" cy="4578350"/>
            <wp:effectExtent l="0" t="0" r="0" b="0"/>
            <wp:docPr id="163964906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649065"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9779000" cy="4578350"/>
                    </a:xfrm>
                    <a:prstGeom prst="rect">
                      <a:avLst/>
                    </a:prstGeom>
                    <a:noFill/>
                  </pic:spPr>
                </pic:pic>
              </a:graphicData>
            </a:graphic>
          </wp:inline>
        </w:drawing>
      </w:r>
    </w:p>
    <w:p w14:paraId="2D4C7E91">
      <w:pPr>
        <w:pStyle w:val="2"/>
        <w:spacing w:before="0" w:after="0" w:line="360" w:lineRule="auto"/>
        <w:ind w:firstLine="562"/>
        <w:jc w:val="left"/>
        <w:rPr>
          <w:rFonts w:ascii="Times New Roman" w:hAnsi="Times New Roman" w:eastAsia="仿宋" w:cs="Times New Roman"/>
          <w:b/>
          <w:bCs/>
          <w:sz w:val="28"/>
          <w:szCs w:val="28"/>
          <w:lang w:val="en-US"/>
        </w:rPr>
      </w:pPr>
      <w:r>
        <w:rPr>
          <w:rFonts w:ascii="Times New Roman" w:hAnsi="Times New Roman" w:eastAsia="仿宋" w:cs="Times New Roman"/>
          <w:b/>
          <w:bCs/>
          <w:sz w:val="28"/>
          <w:szCs w:val="28"/>
          <w:lang w:val="en-US"/>
        </w:rPr>
        <w:br w:type="page"/>
      </w:r>
    </w:p>
    <w:p w14:paraId="30015A18">
      <w:pPr>
        <w:pStyle w:val="2"/>
        <w:spacing w:before="0" w:after="0" w:line="360" w:lineRule="auto"/>
        <w:ind w:firstLine="562"/>
        <w:jc w:val="left"/>
        <w:rPr>
          <w:rFonts w:ascii="Times New Roman" w:hAnsi="Times New Roman" w:eastAsia="仿宋" w:cs="Times New Roman"/>
          <w:b/>
          <w:bCs/>
          <w:sz w:val="28"/>
          <w:szCs w:val="28"/>
          <w:lang w:val="en-US"/>
        </w:rPr>
      </w:pPr>
      <w:r>
        <w:rPr>
          <w:rFonts w:hint="eastAsia" w:ascii="Times New Roman" w:hAnsi="Times New Roman" w:eastAsia="仿宋" w:cs="Times New Roman"/>
          <w:b/>
          <w:bCs/>
          <w:sz w:val="28"/>
          <w:szCs w:val="28"/>
          <w:lang w:val="en-US"/>
        </w:rPr>
        <w:t>续上表：</w:t>
      </w:r>
    </w:p>
    <w:p w14:paraId="72E75C9A">
      <w:pPr>
        <w:pStyle w:val="3"/>
      </w:pPr>
      <w:r>
        <w:drawing>
          <wp:inline distT="0" distB="0" distL="0" distR="0">
            <wp:extent cx="9777730" cy="4712970"/>
            <wp:effectExtent l="0" t="0" r="0" b="0"/>
            <wp:docPr id="20576490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649011"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777730" cy="4712970"/>
                    </a:xfrm>
                    <a:prstGeom prst="rect">
                      <a:avLst/>
                    </a:prstGeom>
                    <a:noFill/>
                    <a:ln>
                      <a:noFill/>
                    </a:ln>
                  </pic:spPr>
                </pic:pic>
              </a:graphicData>
            </a:graphic>
          </wp:inline>
        </w:drawing>
      </w:r>
    </w:p>
    <w:p w14:paraId="2B426ECA"/>
    <w:p w14:paraId="3611AF30">
      <w:pPr>
        <w:pStyle w:val="3"/>
        <w:tabs>
          <w:tab w:val="left" w:pos="540"/>
          <w:tab w:val="right" w:leader="dot" w:pos="8296"/>
        </w:tabs>
        <w:rPr>
          <w:rFonts w:ascii="Times New Roman" w:hAnsi="Times New Roman" w:eastAsia="仿宋" w:cs="Times New Roman"/>
          <w:highlight w:val="yellow"/>
        </w:rPr>
        <w:sectPr>
          <w:headerReference r:id="rId5" w:type="default"/>
          <w:pgSz w:w="16838" w:h="11906" w:orient="landscape"/>
          <w:pgMar w:top="720" w:right="720" w:bottom="720" w:left="720" w:header="851" w:footer="992" w:gutter="0"/>
          <w:cols w:space="720" w:num="1"/>
          <w:docGrid w:type="lines" w:linePitch="381" w:charSpace="0"/>
        </w:sectPr>
      </w:pPr>
    </w:p>
    <w:p w14:paraId="5F7A89E6">
      <w:pPr>
        <w:spacing w:line="360" w:lineRule="auto"/>
        <w:outlineLvl w:val="0"/>
        <w:rPr>
          <w:rFonts w:ascii="Times New Roman" w:hAnsi="Times New Roman" w:eastAsia="仿宋" w:cs="Times New Roman"/>
          <w:b/>
          <w:bCs/>
          <w:sz w:val="32"/>
          <w:szCs w:val="32"/>
        </w:rPr>
      </w:pPr>
      <w:r>
        <w:rPr>
          <w:rFonts w:ascii="Times New Roman" w:hAnsi="Times New Roman" w:eastAsia="仿宋" w:cs="Times New Roman"/>
          <w:b/>
          <w:bCs/>
          <w:sz w:val="32"/>
          <w:szCs w:val="32"/>
        </w:rPr>
        <w:t>五、项目绩效目标</w:t>
      </w:r>
    </w:p>
    <w:p w14:paraId="7B0915A4">
      <w:pPr>
        <w:pStyle w:val="6"/>
        <w:keepNext w:val="0"/>
        <w:keepLines w:val="0"/>
        <w:spacing w:before="0" w:after="0" w:line="360" w:lineRule="auto"/>
        <w:ind w:firstLine="562" w:firstLineChars="200"/>
        <w:rPr>
          <w:rFonts w:ascii="Times New Roman" w:hAnsi="Times New Roman" w:eastAsia="仿宋" w:cs="Times New Roman"/>
          <w:sz w:val="28"/>
          <w:szCs w:val="28"/>
        </w:rPr>
      </w:pPr>
      <w:r>
        <w:rPr>
          <w:rFonts w:ascii="Times New Roman" w:hAnsi="Times New Roman" w:eastAsia="仿宋" w:cs="Times New Roman"/>
          <w:sz w:val="28"/>
          <w:szCs w:val="28"/>
        </w:rPr>
        <w:t>1、项目总体建设目标</w:t>
      </w:r>
    </w:p>
    <w:p w14:paraId="18B53AC0">
      <w:pPr>
        <w:pStyle w:val="46"/>
        <w:ind w:firstLine="560"/>
        <w:rPr>
          <w:rFonts w:hint="eastAsia" w:cs="Times New Roman"/>
        </w:rPr>
      </w:pPr>
      <w:r>
        <w:rPr>
          <w:rFonts w:hint="eastAsia" w:cs="Times New Roman"/>
        </w:rPr>
        <w:t>目标1：项目占地90亩，总建筑面积24.3万平方米，其中地上建筑面积22.8万平方米，地下建筑面积1.5万平方米。</w:t>
      </w:r>
    </w:p>
    <w:p w14:paraId="1A6F73C7">
      <w:pPr>
        <w:pStyle w:val="46"/>
        <w:ind w:firstLine="560"/>
        <w:rPr>
          <w:rFonts w:hint="eastAsia" w:cs="Times New Roman"/>
        </w:rPr>
      </w:pPr>
      <w:r>
        <w:rPr>
          <w:rFonts w:hint="eastAsia" w:cs="Times New Roman"/>
        </w:rPr>
        <w:t>目标2：在2027年7月完成项目竣工验收。</w:t>
      </w:r>
    </w:p>
    <w:p w14:paraId="40B95BC1">
      <w:pPr>
        <w:pStyle w:val="46"/>
        <w:ind w:firstLine="560"/>
        <w:rPr>
          <w:rFonts w:hint="eastAsia" w:cs="Times New Roman"/>
        </w:rPr>
      </w:pPr>
      <w:r>
        <w:rPr>
          <w:rFonts w:hint="eastAsia" w:cs="Times New Roman"/>
        </w:rPr>
        <w:t>目标3：债券存续期内实现年度收支平衡和总体收支平衡。</w:t>
      </w:r>
    </w:p>
    <w:p w14:paraId="6F99D076">
      <w:pPr>
        <w:pStyle w:val="46"/>
        <w:ind w:firstLine="560"/>
        <w:rPr>
          <w:rFonts w:cs="Times New Roman"/>
        </w:rPr>
      </w:pPr>
      <w:r>
        <w:rPr>
          <w:rFonts w:hint="eastAsia" w:cs="Times New Roman"/>
        </w:rPr>
        <w:t>目标4：提升城市品位，使社会经济得到进一步发展</w:t>
      </w:r>
      <w:r>
        <w:rPr>
          <w:rFonts w:cs="Times New Roman"/>
        </w:rPr>
        <w:t>。</w:t>
      </w:r>
    </w:p>
    <w:p w14:paraId="7ADF3F71">
      <w:pPr>
        <w:pStyle w:val="6"/>
        <w:keepNext w:val="0"/>
        <w:keepLines w:val="0"/>
        <w:spacing w:before="0" w:after="0" w:line="360" w:lineRule="auto"/>
        <w:ind w:firstLine="562" w:firstLineChars="200"/>
        <w:rPr>
          <w:rFonts w:ascii="Times New Roman" w:hAnsi="Times New Roman" w:eastAsia="仿宋" w:cs="Times New Roman"/>
          <w:sz w:val="28"/>
          <w:szCs w:val="28"/>
        </w:rPr>
      </w:pPr>
      <w:r>
        <w:rPr>
          <w:rFonts w:ascii="Times New Roman" w:hAnsi="Times New Roman" w:eastAsia="仿宋" w:cs="Times New Roman"/>
          <w:sz w:val="28"/>
          <w:szCs w:val="28"/>
        </w:rPr>
        <w:t>2、202</w:t>
      </w:r>
      <w:r>
        <w:rPr>
          <w:rFonts w:hint="eastAsia" w:ascii="Times New Roman" w:hAnsi="Times New Roman" w:eastAsia="仿宋" w:cs="Times New Roman"/>
          <w:sz w:val="28"/>
          <w:szCs w:val="28"/>
          <w:lang w:val="en-US" w:eastAsia="zh-CN"/>
        </w:rPr>
        <w:t>6</w:t>
      </w:r>
      <w:r>
        <w:rPr>
          <w:rFonts w:ascii="Times New Roman" w:hAnsi="Times New Roman" w:eastAsia="仿宋" w:cs="Times New Roman"/>
          <w:sz w:val="28"/>
          <w:szCs w:val="28"/>
        </w:rPr>
        <w:t>年度目标</w:t>
      </w:r>
    </w:p>
    <w:p w14:paraId="30BCFA9D">
      <w:pPr>
        <w:pStyle w:val="46"/>
        <w:ind w:firstLine="560"/>
        <w:rPr>
          <w:rFonts w:cs="Times New Roman"/>
        </w:rPr>
      </w:pPr>
      <w:r>
        <w:rPr>
          <w:rFonts w:hint="eastAsia" w:cs="Times New Roman"/>
        </w:rPr>
        <w:t>目标1：项目完成工程建设面积</w:t>
      </w:r>
      <w:r>
        <w:rPr>
          <w:rFonts w:hint="eastAsia" w:cs="Times New Roman"/>
          <w:lang w:val="en-US" w:eastAsia="zh-CN"/>
        </w:rPr>
        <w:t>20.0</w:t>
      </w:r>
      <w:r>
        <w:rPr>
          <w:rFonts w:hint="eastAsia" w:cs="Times New Roman"/>
        </w:rPr>
        <w:t>万平方米、部分工程竣工验收1项；</w:t>
      </w:r>
    </w:p>
    <w:p w14:paraId="6DA1A920">
      <w:pPr>
        <w:pStyle w:val="46"/>
        <w:ind w:firstLine="560"/>
        <w:rPr>
          <w:rFonts w:cs="Times New Roman"/>
        </w:rPr>
      </w:pPr>
      <w:r>
        <w:rPr>
          <w:rFonts w:hint="eastAsia" w:cs="Times New Roman"/>
        </w:rPr>
        <w:t>目标2：资金使用率达到90%以上</w:t>
      </w:r>
      <w:r>
        <w:rPr>
          <w:rFonts w:cs="Times New Roman"/>
        </w:rPr>
        <w:t>。</w:t>
      </w:r>
    </w:p>
    <w:p w14:paraId="6DE22F67">
      <w:pPr>
        <w:pStyle w:val="46"/>
        <w:ind w:firstLine="562"/>
        <w:rPr>
          <w:rFonts w:cs="Times New Roman"/>
          <w:b/>
        </w:rPr>
      </w:pPr>
      <w:r>
        <w:rPr>
          <w:rFonts w:cs="Times New Roman"/>
          <w:b/>
        </w:rPr>
        <w:t>3、质量指标</w:t>
      </w:r>
    </w:p>
    <w:p w14:paraId="19416926">
      <w:pPr>
        <w:pStyle w:val="46"/>
        <w:ind w:firstLine="560"/>
        <w:rPr>
          <w:rFonts w:cs="Times New Roman"/>
        </w:rPr>
      </w:pPr>
      <w:r>
        <w:rPr>
          <w:rFonts w:cs="Times New Roman"/>
        </w:rPr>
        <w:t>指标1：验收合格率≥95%；</w:t>
      </w:r>
    </w:p>
    <w:p w14:paraId="7D6B8B7A">
      <w:pPr>
        <w:pStyle w:val="46"/>
        <w:ind w:firstLine="560"/>
        <w:rPr>
          <w:rFonts w:cs="Times New Roman"/>
        </w:rPr>
      </w:pPr>
      <w:r>
        <w:rPr>
          <w:rFonts w:cs="Times New Roman"/>
        </w:rPr>
        <w:t>指标2：项目设计方案变更率≤5%。</w:t>
      </w:r>
    </w:p>
    <w:p w14:paraId="21D2BBC3">
      <w:pPr>
        <w:pStyle w:val="46"/>
        <w:ind w:firstLine="562"/>
        <w:rPr>
          <w:rFonts w:cs="Times New Roman"/>
          <w:b/>
        </w:rPr>
      </w:pPr>
      <w:r>
        <w:rPr>
          <w:rFonts w:cs="Times New Roman"/>
          <w:b/>
        </w:rPr>
        <w:t>4、经济效益指标</w:t>
      </w:r>
    </w:p>
    <w:p w14:paraId="2C79E5CF">
      <w:pPr>
        <w:pStyle w:val="46"/>
        <w:ind w:firstLine="560"/>
        <w:rPr>
          <w:rFonts w:cs="Times New Roman"/>
        </w:rPr>
      </w:pPr>
      <w:r>
        <w:rPr>
          <w:rFonts w:cs="Times New Roman"/>
        </w:rPr>
        <w:t>指标1：项目总收入≥149365.21万元；</w:t>
      </w:r>
    </w:p>
    <w:p w14:paraId="5B71F1FE">
      <w:pPr>
        <w:pStyle w:val="46"/>
        <w:ind w:firstLine="560"/>
        <w:rPr>
          <w:rFonts w:cs="Times New Roman"/>
        </w:rPr>
      </w:pPr>
      <w:r>
        <w:rPr>
          <w:rFonts w:cs="Times New Roman"/>
        </w:rPr>
        <w:t>指标2：拉动投资≥14000.00万元。</w:t>
      </w:r>
    </w:p>
    <w:p w14:paraId="3D5D752A">
      <w:pPr>
        <w:pStyle w:val="46"/>
        <w:keepNext/>
        <w:ind w:firstLine="562"/>
        <w:rPr>
          <w:rFonts w:cs="Times New Roman"/>
          <w:b/>
        </w:rPr>
      </w:pPr>
      <w:r>
        <w:rPr>
          <w:rFonts w:cs="Times New Roman"/>
          <w:b/>
        </w:rPr>
        <w:t>5、社会效益指标</w:t>
      </w:r>
    </w:p>
    <w:p w14:paraId="4564A892">
      <w:pPr>
        <w:pStyle w:val="46"/>
        <w:ind w:firstLine="560"/>
        <w:rPr>
          <w:rFonts w:cs="Times New Roman"/>
        </w:rPr>
      </w:pPr>
      <w:r>
        <w:rPr>
          <w:rFonts w:hint="eastAsia" w:cs="Times New Roman"/>
        </w:rPr>
        <w:t>指标1：增加就业数≥</w:t>
      </w:r>
      <w:r>
        <w:rPr>
          <w:rFonts w:cs="Times New Roman"/>
        </w:rPr>
        <w:t>5</w:t>
      </w:r>
      <w:r>
        <w:rPr>
          <w:rFonts w:hint="eastAsia" w:cs="Times New Roman"/>
        </w:rPr>
        <w:t>0人次</w:t>
      </w:r>
      <w:r>
        <w:rPr>
          <w:rFonts w:cs="Times New Roman"/>
        </w:rPr>
        <w:t>；</w:t>
      </w:r>
    </w:p>
    <w:p w14:paraId="41A3BA7D">
      <w:pPr>
        <w:pStyle w:val="46"/>
        <w:ind w:firstLine="560"/>
        <w:rPr>
          <w:rFonts w:cs="Times New Roman"/>
        </w:rPr>
      </w:pPr>
      <w:r>
        <w:rPr>
          <w:rFonts w:hint="eastAsia" w:cs="Times New Roman"/>
        </w:rPr>
        <w:t>指标2：带动周边群众增收</w:t>
      </w:r>
      <w:r>
        <w:rPr>
          <w:rFonts w:cs="Times New Roman"/>
        </w:rPr>
        <w:t>--</w:t>
      </w:r>
      <w:r>
        <w:rPr>
          <w:rFonts w:hint="eastAsia" w:cs="Times New Roman"/>
        </w:rPr>
        <w:t>达成预期目标</w:t>
      </w:r>
      <w:r>
        <w:rPr>
          <w:rFonts w:cs="Times New Roman"/>
        </w:rPr>
        <w:t>。</w:t>
      </w:r>
    </w:p>
    <w:p w14:paraId="413611E5">
      <w:pPr>
        <w:pStyle w:val="46"/>
        <w:ind w:firstLine="562"/>
        <w:rPr>
          <w:rFonts w:cs="Times New Roman"/>
          <w:b/>
        </w:rPr>
      </w:pPr>
      <w:r>
        <w:rPr>
          <w:rFonts w:cs="Times New Roman"/>
          <w:b/>
        </w:rPr>
        <w:t>6、生态效益指标</w:t>
      </w:r>
    </w:p>
    <w:p w14:paraId="525958C7">
      <w:pPr>
        <w:pStyle w:val="46"/>
        <w:ind w:firstLine="560"/>
        <w:rPr>
          <w:rFonts w:cs="Times New Roman"/>
        </w:rPr>
      </w:pPr>
      <w:r>
        <w:rPr>
          <w:rFonts w:cs="Times New Roman"/>
        </w:rPr>
        <w:t>指标1：水电能源节约率≥95%；</w:t>
      </w:r>
    </w:p>
    <w:p w14:paraId="48AFBB49">
      <w:pPr>
        <w:pStyle w:val="46"/>
        <w:ind w:firstLine="560"/>
        <w:rPr>
          <w:rFonts w:cs="Times New Roman"/>
        </w:rPr>
      </w:pPr>
      <w:r>
        <w:rPr>
          <w:rFonts w:cs="Times New Roman"/>
        </w:rPr>
        <w:t>指标2：生态环境改善--达成预期目。</w:t>
      </w:r>
    </w:p>
    <w:p w14:paraId="18B0B610">
      <w:pPr>
        <w:pStyle w:val="46"/>
        <w:ind w:firstLine="562"/>
        <w:rPr>
          <w:rFonts w:cs="Times New Roman"/>
          <w:b/>
        </w:rPr>
      </w:pPr>
      <w:r>
        <w:rPr>
          <w:rFonts w:cs="Times New Roman"/>
          <w:b/>
        </w:rPr>
        <w:t>7、可持续影响指标</w:t>
      </w:r>
    </w:p>
    <w:p w14:paraId="4E4555C9">
      <w:pPr>
        <w:pStyle w:val="46"/>
        <w:ind w:firstLine="560"/>
        <w:rPr>
          <w:rFonts w:cs="Times New Roman"/>
        </w:rPr>
      </w:pPr>
      <w:r>
        <w:rPr>
          <w:rFonts w:cs="Times New Roman"/>
        </w:rPr>
        <w:t>指标1：运营期限</w:t>
      </w:r>
      <w:r>
        <w:rPr>
          <w:rFonts w:hint="eastAsia" w:ascii="宋体" w:hAnsi="宋体" w:eastAsia="宋体" w:cs="宋体"/>
        </w:rPr>
        <w:t>≧</w:t>
      </w:r>
      <w:r>
        <w:rPr>
          <w:rFonts w:hint="eastAsia" w:cs="Times New Roman"/>
        </w:rPr>
        <w:t>3</w:t>
      </w:r>
      <w:r>
        <w:rPr>
          <w:rFonts w:cs="Times New Roman"/>
        </w:rPr>
        <w:t>0年；</w:t>
      </w:r>
    </w:p>
    <w:p w14:paraId="54F8CEEB">
      <w:pPr>
        <w:pStyle w:val="46"/>
        <w:ind w:firstLine="560"/>
        <w:rPr>
          <w:rFonts w:cs="Times New Roman"/>
        </w:rPr>
      </w:pPr>
      <w:r>
        <w:rPr>
          <w:rFonts w:cs="Times New Roman"/>
        </w:rPr>
        <w:t>指标2：</w:t>
      </w:r>
      <w:r>
        <w:rPr>
          <w:rFonts w:hint="eastAsia" w:cs="Times New Roman"/>
        </w:rPr>
        <w:t>优化当地人居格局，改善当地基础设施</w:t>
      </w:r>
      <w:r>
        <w:rPr>
          <w:rFonts w:cs="Times New Roman"/>
        </w:rPr>
        <w:t>--达成预期目标。</w:t>
      </w:r>
    </w:p>
    <w:p w14:paraId="6826F179">
      <w:pPr>
        <w:spacing w:before="312" w:beforeLines="100" w:line="360" w:lineRule="auto"/>
        <w:outlineLvl w:val="0"/>
        <w:rPr>
          <w:rFonts w:ascii="Times New Roman" w:hAnsi="Times New Roman" w:eastAsia="仿宋" w:cs="Times New Roman"/>
          <w:b/>
          <w:bCs/>
          <w:sz w:val="32"/>
          <w:szCs w:val="32"/>
        </w:rPr>
      </w:pPr>
      <w:r>
        <w:rPr>
          <w:rFonts w:ascii="Times New Roman" w:hAnsi="Times New Roman" w:eastAsia="仿宋" w:cs="Times New Roman"/>
          <w:b/>
          <w:bCs/>
          <w:sz w:val="32"/>
          <w:szCs w:val="32"/>
        </w:rPr>
        <w:t>六、潜在影响项目的风险评估</w:t>
      </w:r>
    </w:p>
    <w:p w14:paraId="390AA292">
      <w:pPr>
        <w:pStyle w:val="6"/>
        <w:keepNext w:val="0"/>
        <w:keepLines w:val="0"/>
        <w:spacing w:before="0" w:after="0" w:line="360" w:lineRule="auto"/>
        <w:ind w:firstLine="562" w:firstLineChars="200"/>
        <w:rPr>
          <w:rFonts w:ascii="Times New Roman" w:hAnsi="Times New Roman" w:eastAsia="仿宋" w:cs="Times New Roman"/>
          <w:sz w:val="28"/>
          <w:szCs w:val="28"/>
        </w:rPr>
      </w:pPr>
      <w:bookmarkStart w:id="83" w:name="_Toc15343"/>
      <w:bookmarkStart w:id="84" w:name="_Toc522211123"/>
      <w:r>
        <w:rPr>
          <w:rFonts w:ascii="Times New Roman" w:hAnsi="Times New Roman" w:eastAsia="仿宋" w:cs="Times New Roman"/>
          <w:sz w:val="28"/>
          <w:szCs w:val="28"/>
        </w:rPr>
        <w:t>1.经营风险</w:t>
      </w:r>
      <w:bookmarkEnd w:id="83"/>
      <w:bookmarkEnd w:id="84"/>
    </w:p>
    <w:p w14:paraId="680B9F4A">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风险识别：经营风险是指生产经营的不确定性带来的风险。若项目投入运营后的收入未能达到预测值，将影响项目整体收益，对债券还本付息产生影响。</w:t>
      </w:r>
    </w:p>
    <w:p w14:paraId="20EADB70">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风险控制措施：要求项目管理单位密切关注各项收入支撑情况，根据实际情况调整收入策略，保证还本付息资金。</w:t>
      </w:r>
      <w:bookmarkStart w:id="85" w:name="_Toc522211124"/>
      <w:bookmarkStart w:id="86" w:name="_Toc4440"/>
    </w:p>
    <w:p w14:paraId="6CF10D55">
      <w:pPr>
        <w:pStyle w:val="6"/>
        <w:keepNext w:val="0"/>
        <w:keepLines w:val="0"/>
        <w:spacing w:before="0" w:after="0" w:line="360" w:lineRule="auto"/>
        <w:ind w:firstLine="562" w:firstLineChars="200"/>
        <w:rPr>
          <w:rFonts w:ascii="Times New Roman" w:hAnsi="Times New Roman" w:eastAsia="仿宋" w:cs="Times New Roman"/>
          <w:sz w:val="28"/>
          <w:szCs w:val="28"/>
        </w:rPr>
      </w:pPr>
      <w:r>
        <w:rPr>
          <w:rFonts w:ascii="Times New Roman" w:hAnsi="Times New Roman" w:eastAsia="仿宋" w:cs="Times New Roman"/>
          <w:sz w:val="28"/>
          <w:szCs w:val="28"/>
        </w:rPr>
        <w:t>2.市场风险</w:t>
      </w:r>
      <w:bookmarkEnd w:id="85"/>
      <w:bookmarkEnd w:id="86"/>
    </w:p>
    <w:p w14:paraId="7699782D">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风险识别：在专项债券存续期内，国际、国内宏观经济环境的变化，国家经济政策变动等因素会引起债务资本市场利率的波动，市场利率波动将会对本项目的财务成本产生一定影响，进而影响项目投资收益的平衡。</w:t>
      </w:r>
    </w:p>
    <w:p w14:paraId="78A451C0">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风险控制措施：要求项目单位合理安排债券发行金额和债券期限，做好债券的期限配比、还款计划和资金准备。</w:t>
      </w:r>
    </w:p>
    <w:p w14:paraId="52E1393F">
      <w:pPr>
        <w:pStyle w:val="6"/>
        <w:keepNext w:val="0"/>
        <w:keepLines w:val="0"/>
        <w:spacing w:before="0" w:after="0" w:line="360" w:lineRule="auto"/>
        <w:ind w:firstLine="562" w:firstLineChars="200"/>
        <w:rPr>
          <w:rFonts w:ascii="Times New Roman" w:hAnsi="Times New Roman" w:eastAsia="仿宋" w:cs="Times New Roman"/>
          <w:sz w:val="28"/>
          <w:szCs w:val="28"/>
        </w:rPr>
      </w:pPr>
      <w:bookmarkStart w:id="87" w:name="_Toc15747"/>
      <w:bookmarkStart w:id="88" w:name="_Toc522211125"/>
      <w:r>
        <w:rPr>
          <w:rFonts w:ascii="Times New Roman" w:hAnsi="Times New Roman" w:eastAsia="仿宋" w:cs="Times New Roman"/>
          <w:sz w:val="28"/>
          <w:szCs w:val="28"/>
        </w:rPr>
        <w:t>3.财务风险</w:t>
      </w:r>
      <w:bookmarkEnd w:id="87"/>
      <w:bookmarkEnd w:id="88"/>
    </w:p>
    <w:p w14:paraId="255E0187">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风险识别：由于项目建设周期较长，如果在项目建设过程中，受市场因素影响，项目施工所需的原材料价格上涨，将导致项目施工成本增加，财务负担加重，进而影响项目建设进度，以及项目建设期内专项债券的利息兑付，因此面临一定财务风险。</w:t>
      </w:r>
    </w:p>
    <w:p w14:paraId="226D5124">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风险控制措施：项目可行性研究报告编制过程中，在测算项目总投资时已考虑相关风险。同时，在项目建设过程中，加强项目施工预算管理、招标及合同管理，尽可能控制建设成本。</w:t>
      </w:r>
    </w:p>
    <w:p w14:paraId="56CE954A">
      <w:pPr>
        <w:spacing w:before="312" w:beforeLines="100" w:line="360" w:lineRule="auto"/>
        <w:outlineLvl w:val="0"/>
        <w:rPr>
          <w:rFonts w:ascii="Times New Roman" w:hAnsi="Times New Roman" w:eastAsia="仿宋" w:cs="Times New Roman"/>
          <w:b/>
          <w:bCs/>
          <w:sz w:val="32"/>
          <w:szCs w:val="32"/>
        </w:rPr>
      </w:pPr>
      <w:r>
        <w:rPr>
          <w:rFonts w:ascii="Times New Roman" w:hAnsi="Times New Roman" w:eastAsia="仿宋" w:cs="Times New Roman"/>
          <w:b/>
          <w:bCs/>
          <w:sz w:val="32"/>
          <w:szCs w:val="32"/>
        </w:rPr>
        <w:t>七、还款保障情况</w:t>
      </w:r>
    </w:p>
    <w:p w14:paraId="4E420F19">
      <w:pPr>
        <w:spacing w:line="360" w:lineRule="auto"/>
        <w:ind w:firstLine="560" w:firstLineChars="200"/>
        <w:rPr>
          <w:rFonts w:ascii="Times New Roman" w:hAnsi="Times New Roman" w:eastAsia="仿宋" w:cs="Times New Roman"/>
          <w:sz w:val="28"/>
          <w:szCs w:val="28"/>
        </w:rPr>
      </w:pPr>
      <w:r>
        <w:rPr>
          <w:rFonts w:ascii="Times New Roman" w:hAnsi="Times New Roman" w:eastAsia="仿宋" w:cs="Times New Roman"/>
          <w:sz w:val="28"/>
          <w:szCs w:val="28"/>
        </w:rPr>
        <w:t>按照《国务院办公厅关于印发地方政府性债务风险应急处置预案的通知》（国办函〔2016〕88号）、《财政部关于印发&lt;地方政府专项债务预算管理办法&gt;的通知》（财预〔2016〕155号）规定，及时按照转贷协议约定逐级向省财政缴纳本级应当承担的专项债还本付息资金，由省财政按照合同约定及时偿还专项债券到期本息。如专项债偿债出现困难，将通过调减投资计划、处置可变现资产、调整预算支出结构等方式筹集资金偿还债务。未按时足额向省财政缴纳专项债券还本付息资金的，省财政采取适当方式扣回。</w:t>
      </w:r>
    </w:p>
    <w:p w14:paraId="574A1C67">
      <w:pPr>
        <w:spacing w:before="312" w:beforeLines="100" w:line="360" w:lineRule="auto"/>
        <w:outlineLvl w:val="0"/>
        <w:rPr>
          <w:rFonts w:ascii="Times New Roman" w:hAnsi="Times New Roman" w:eastAsia="仿宋" w:cs="Times New Roman"/>
          <w:b/>
          <w:bCs/>
          <w:sz w:val="32"/>
          <w:szCs w:val="32"/>
        </w:rPr>
      </w:pPr>
      <w:r>
        <w:rPr>
          <w:rFonts w:ascii="Times New Roman" w:hAnsi="Times New Roman" w:eastAsia="仿宋" w:cs="Times New Roman"/>
          <w:b/>
          <w:bCs/>
          <w:sz w:val="32"/>
          <w:szCs w:val="32"/>
        </w:rPr>
        <w:t>八、主管部门和项目单位职责</w:t>
      </w:r>
    </w:p>
    <w:p w14:paraId="6435A46D">
      <w:pPr>
        <w:spacing w:line="360" w:lineRule="auto"/>
        <w:ind w:firstLine="562" w:firstLineChars="200"/>
        <w:rPr>
          <w:rFonts w:ascii="Times New Roman" w:hAnsi="Times New Roman" w:eastAsia="仿宋" w:cs="Times New Roman"/>
          <w:b/>
          <w:bCs/>
          <w:sz w:val="28"/>
          <w:szCs w:val="28"/>
        </w:rPr>
      </w:pPr>
      <w:r>
        <w:rPr>
          <w:rFonts w:hint="eastAsia" w:ascii="Times New Roman" w:hAnsi="Times New Roman" w:eastAsia="仿宋" w:cs="Times New Roman"/>
          <w:b/>
          <w:bCs/>
          <w:sz w:val="28"/>
          <w:szCs w:val="28"/>
        </w:rPr>
        <w:t>1.项目主管部门：甘眉工业园区管理委员会</w:t>
      </w:r>
    </w:p>
    <w:p w14:paraId="78F1CD19">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主要职责包括：严格按照基本建设程序建设项目，监督施工方严格按照施工规范施工，确保项目施工安全、项目建设质量、项目工期，切实加强项目建设、运营管理，确保项目收益覆盖债券本息。</w:t>
      </w:r>
    </w:p>
    <w:p w14:paraId="6F5640AC">
      <w:pPr>
        <w:keepNext/>
        <w:spacing w:line="360" w:lineRule="auto"/>
        <w:ind w:firstLine="562" w:firstLineChars="200"/>
        <w:rPr>
          <w:rFonts w:ascii="Times New Roman" w:hAnsi="Times New Roman" w:eastAsia="仿宋" w:cs="Times New Roman"/>
          <w:b/>
          <w:bCs/>
          <w:sz w:val="28"/>
          <w:szCs w:val="28"/>
        </w:rPr>
      </w:pPr>
      <w:r>
        <w:rPr>
          <w:rFonts w:hint="eastAsia" w:ascii="Times New Roman" w:hAnsi="Times New Roman" w:eastAsia="仿宋" w:cs="Times New Roman"/>
          <w:b/>
          <w:bCs/>
          <w:sz w:val="28"/>
          <w:szCs w:val="28"/>
        </w:rPr>
        <w:t>2.项目资金主管部门：甘眉工业园区财政局</w:t>
      </w:r>
    </w:p>
    <w:p w14:paraId="5AFC0BC8">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主要职责包括：（1）配合落实项目配套财政资金、专项债券资金；（2）监督项目资金的实际使用情况及对本期债券本息的按期偿付情况。</w:t>
      </w:r>
    </w:p>
    <w:p w14:paraId="125CD6E5">
      <w:pPr>
        <w:spacing w:line="360" w:lineRule="auto"/>
        <w:ind w:firstLine="562" w:firstLineChars="200"/>
        <w:rPr>
          <w:rFonts w:ascii="Times New Roman" w:hAnsi="Times New Roman" w:eastAsia="仿宋" w:cs="Times New Roman"/>
          <w:b/>
          <w:bCs/>
          <w:sz w:val="28"/>
          <w:szCs w:val="28"/>
        </w:rPr>
      </w:pPr>
      <w:r>
        <w:rPr>
          <w:rFonts w:hint="eastAsia" w:ascii="Times New Roman" w:hAnsi="Times New Roman" w:eastAsia="仿宋" w:cs="Times New Roman"/>
          <w:b/>
          <w:bCs/>
          <w:sz w:val="28"/>
          <w:szCs w:val="28"/>
        </w:rPr>
        <w:t>3.项目业主单位：眉山甘眉建设发展有限公司</w:t>
      </w:r>
    </w:p>
    <w:p w14:paraId="4F5C251E">
      <w:pPr>
        <w:spacing w:line="360" w:lineRule="auto"/>
        <w:ind w:firstLine="560" w:firstLineChars="200"/>
        <w:rPr>
          <w:rFonts w:ascii="Times New Roman" w:hAnsi="Times New Roman" w:eastAsia="仿宋" w:cs="Times New Roman"/>
          <w:sz w:val="28"/>
          <w:szCs w:val="28"/>
        </w:rPr>
      </w:pPr>
      <w:r>
        <w:rPr>
          <w:rFonts w:hint="eastAsia" w:ascii="Times New Roman" w:hAnsi="Times New Roman" w:eastAsia="仿宋" w:cs="Times New Roman"/>
          <w:sz w:val="28"/>
          <w:szCs w:val="28"/>
        </w:rPr>
        <w:t>主要职责包括：（1）根据项目实施计划开展相关工作；（2）保证项目资金的使用与项目实施进度相匹配；（3）定期向行业主管部门、实施机构及项目资金主管部门汇报项目实施进度及项目资金使用情况</w:t>
      </w:r>
      <w:r>
        <w:rPr>
          <w:rFonts w:ascii="Times New Roman" w:hAnsi="Times New Roman" w:eastAsia="仿宋" w:cs="Times New Roman"/>
          <w:sz w:val="28"/>
          <w:szCs w:val="28"/>
        </w:rPr>
        <w:t>。</w:t>
      </w:r>
    </w:p>
    <w:p w14:paraId="1D08C3D2">
      <w:pPr>
        <w:spacing w:before="312" w:beforeLines="100" w:line="360" w:lineRule="auto"/>
        <w:outlineLvl w:val="0"/>
        <w:rPr>
          <w:rFonts w:ascii="Times New Roman" w:hAnsi="Times New Roman" w:eastAsia="仿宋" w:cs="Times New Roman"/>
          <w:b/>
          <w:bCs/>
          <w:sz w:val="32"/>
          <w:szCs w:val="32"/>
        </w:rPr>
      </w:pPr>
      <w:r>
        <w:rPr>
          <w:rFonts w:ascii="Times New Roman" w:hAnsi="Times New Roman" w:eastAsia="仿宋" w:cs="Times New Roman"/>
          <w:b/>
          <w:bCs/>
          <w:sz w:val="32"/>
          <w:szCs w:val="32"/>
        </w:rPr>
        <w:t>九、补充说明</w:t>
      </w:r>
    </w:p>
    <w:p w14:paraId="256E34A6">
      <w:pPr>
        <w:spacing w:line="360" w:lineRule="auto"/>
        <w:ind w:firstLine="560" w:firstLineChars="200"/>
        <w:rPr>
          <w:rFonts w:hint="eastAsia" w:ascii="Times New Roman" w:hAnsi="Times New Roman" w:eastAsia="仿宋" w:cs="Times New Roman"/>
          <w:sz w:val="28"/>
          <w:szCs w:val="28"/>
        </w:rPr>
      </w:pPr>
      <w:r>
        <w:rPr>
          <w:rFonts w:hint="eastAsia" w:ascii="Times New Roman" w:hAnsi="Times New Roman" w:eastAsia="仿宋" w:cs="Times New Roman"/>
          <w:sz w:val="28"/>
          <w:szCs w:val="28"/>
        </w:rPr>
        <w:t>此项目债券资金总需求36000.00万元，根据地方政府债务限额管理要求和项目实施进展情况，20</w:t>
      </w:r>
      <w:r>
        <w:rPr>
          <w:rFonts w:hint="eastAsia" w:ascii="Times New Roman" w:hAnsi="Times New Roman" w:eastAsia="仿宋" w:cs="Times New Roman"/>
          <w:sz w:val="28"/>
          <w:szCs w:val="28"/>
          <w:lang w:val="en-US" w:eastAsia="zh-CN"/>
        </w:rPr>
        <w:t>24</w:t>
      </w:r>
      <w:r>
        <w:rPr>
          <w:rFonts w:hint="eastAsia" w:ascii="Times New Roman" w:hAnsi="Times New Roman" w:eastAsia="仿宋" w:cs="Times New Roman"/>
          <w:sz w:val="28"/>
          <w:szCs w:val="28"/>
        </w:rPr>
        <w:t>年</w:t>
      </w:r>
      <w:r>
        <w:rPr>
          <w:rFonts w:hint="eastAsia" w:ascii="Times New Roman" w:hAnsi="Times New Roman" w:eastAsia="仿宋" w:cs="Times New Roman"/>
          <w:sz w:val="28"/>
          <w:szCs w:val="28"/>
          <w:lang w:val="en-US" w:eastAsia="zh-CN"/>
        </w:rPr>
        <w:t>-2026年</w:t>
      </w:r>
      <w:r>
        <w:rPr>
          <w:rFonts w:hint="eastAsia" w:ascii="Times New Roman" w:hAnsi="Times New Roman" w:eastAsia="仿宋" w:cs="Times New Roman"/>
          <w:sz w:val="28"/>
          <w:szCs w:val="28"/>
        </w:rPr>
        <w:t>已发行</w:t>
      </w:r>
      <w:r>
        <w:rPr>
          <w:rFonts w:hint="eastAsia" w:ascii="Times New Roman" w:hAnsi="Times New Roman" w:eastAsia="仿宋" w:cs="Times New Roman"/>
          <w:sz w:val="28"/>
          <w:szCs w:val="28"/>
          <w:lang w:val="en-US" w:eastAsia="zh-CN"/>
        </w:rPr>
        <w:t>18000.00</w:t>
      </w:r>
      <w:r>
        <w:rPr>
          <w:rFonts w:hint="eastAsia" w:ascii="Times New Roman" w:hAnsi="Times New Roman" w:eastAsia="仿宋" w:cs="Times New Roman"/>
          <w:sz w:val="28"/>
          <w:szCs w:val="28"/>
        </w:rPr>
        <w:t>万元。本次拟继续发行</w:t>
      </w:r>
      <w:r>
        <w:rPr>
          <w:rFonts w:hint="eastAsia" w:ascii="Times New Roman" w:hAnsi="Times New Roman" w:eastAsia="仿宋" w:cs="Times New Roman"/>
          <w:sz w:val="28"/>
          <w:szCs w:val="28"/>
          <w:lang w:val="en-US" w:eastAsia="zh-CN"/>
        </w:rPr>
        <w:t>5000.00</w:t>
      </w:r>
      <w:r>
        <w:rPr>
          <w:rFonts w:hint="eastAsia" w:ascii="Times New Roman" w:hAnsi="Times New Roman" w:eastAsia="仿宋" w:cs="Times New Roman"/>
          <w:sz w:val="28"/>
          <w:szCs w:val="28"/>
        </w:rPr>
        <w:t>万元，期限</w:t>
      </w:r>
      <w:r>
        <w:rPr>
          <w:rFonts w:hint="eastAsia" w:ascii="Times New Roman" w:hAnsi="Times New Roman" w:eastAsia="仿宋" w:cs="Times New Roman"/>
          <w:sz w:val="28"/>
          <w:szCs w:val="28"/>
          <w:lang w:val="en-US" w:eastAsia="zh-CN"/>
        </w:rPr>
        <w:t>30</w:t>
      </w:r>
      <w:r>
        <w:rPr>
          <w:rFonts w:hint="eastAsia" w:ascii="Times New Roman" w:hAnsi="Times New Roman" w:eastAsia="仿宋" w:cs="Times New Roman"/>
          <w:sz w:val="28"/>
          <w:szCs w:val="28"/>
        </w:rPr>
        <w:t>年。该项目实施内容及收益来源未发生变动，在不超过项目债券总需求情况下，债券分批次跨年发行对项目整体融资平衡不构成实质影响。</w:t>
      </w:r>
    </w:p>
    <w:p w14:paraId="224EE43C">
      <w:pPr>
        <w:pStyle w:val="3"/>
        <w:rPr>
          <w:rFonts w:hint="eastAsia" w:ascii="Times New Roman" w:hAnsi="Times New Roman" w:eastAsia="仿宋" w:cs="Times New Roman"/>
          <w:sz w:val="28"/>
          <w:szCs w:val="28"/>
        </w:rPr>
      </w:pPr>
      <w:bookmarkStart w:id="89" w:name="_GoBack"/>
      <w:bookmarkEnd w:id="89"/>
    </w:p>
    <w:p w14:paraId="744D138C">
      <w:pPr>
        <w:spacing w:line="360" w:lineRule="auto"/>
        <w:ind w:firstLine="640" w:firstLineChars="200"/>
        <w:rPr>
          <w:rFonts w:ascii="Times New Roman" w:hAnsi="Times New Roman" w:eastAsia="仿宋"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LF_Kai">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Univers 45 Light">
    <w:altName w:val="Courier New"/>
    <w:panose1 w:val="00000000000000000000"/>
    <w:charset w:val="00"/>
    <w:family w:val="swiss"/>
    <w:pitch w:val="default"/>
    <w:sig w:usb0="00000000" w:usb1="00000000" w:usb2="00000000" w:usb3="00000000" w:csb0="00000001" w:csb1="00000000"/>
  </w:font>
  <w:font w:name="Arial Narrow">
    <w:altName w:val="Arial"/>
    <w:panose1 w:val="020B0606020202030204"/>
    <w:charset w:val="00"/>
    <w:family w:val="swiss"/>
    <w:pitch w:val="default"/>
    <w:sig w:usb0="00000000" w:usb1="00000000" w:usb2="00000000" w:usb3="00000000" w:csb0="0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169865432"/>
      <w:docPartObj>
        <w:docPartGallery w:val="autotext"/>
      </w:docPartObj>
    </w:sdtPr>
    <w:sdtEndPr>
      <w:rPr>
        <w:rFonts w:ascii="Times New Roman" w:hAnsi="Times New Roman" w:cs="Times New Roman"/>
      </w:rPr>
    </w:sdtEndPr>
    <w:sdtContent>
      <w:p w14:paraId="23AB218C">
        <w:pPr>
          <w:pStyle w:val="18"/>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2B5A3DF1">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11274">
    <w:pPr>
      <w:pStyle w:val="19"/>
      <w:pBdr>
        <w:bottom w:val="none" w:color="auto" w:sz="0" w:space="0"/>
      </w:pBdr>
      <w:tabs>
        <w:tab w:val="center" w:pos="4150"/>
        <w:tab w:val="right" w:pos="8300"/>
        <w:tab w:val="clear" w:pos="4153"/>
        <w:tab w:val="clear" w:pos="8306"/>
      </w:tabs>
    </w:pPr>
  </w:p>
  <w:p w14:paraId="446DF9FB">
    <w:pPr>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F17E6">
    <w:pPr>
      <w:pStyle w:val="19"/>
      <w:pBdr>
        <w:bottom w:val="none" w:color="auto" w:sz="0" w:space="1"/>
      </w:pBdr>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173"/>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381"/>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1ZDI3YjNjYmFmNmY4MjMyZTkwZmEzMmJmODYyMGUifQ=="/>
  </w:docVars>
  <w:rsids>
    <w:rsidRoot w:val="3FA016BB"/>
    <w:rsid w:val="0000795F"/>
    <w:rsid w:val="000114C2"/>
    <w:rsid w:val="00044301"/>
    <w:rsid w:val="000C245E"/>
    <w:rsid w:val="000D23D8"/>
    <w:rsid w:val="000F7897"/>
    <w:rsid w:val="00105734"/>
    <w:rsid w:val="00124450"/>
    <w:rsid w:val="00167DA3"/>
    <w:rsid w:val="00182D5F"/>
    <w:rsid w:val="001A67DE"/>
    <w:rsid w:val="001D34AD"/>
    <w:rsid w:val="001E0FAD"/>
    <w:rsid w:val="00216C56"/>
    <w:rsid w:val="00232F80"/>
    <w:rsid w:val="00233196"/>
    <w:rsid w:val="00245985"/>
    <w:rsid w:val="0027262D"/>
    <w:rsid w:val="002B7608"/>
    <w:rsid w:val="002C3FC9"/>
    <w:rsid w:val="002E5159"/>
    <w:rsid w:val="002E5284"/>
    <w:rsid w:val="00374793"/>
    <w:rsid w:val="003E3DD2"/>
    <w:rsid w:val="00405F71"/>
    <w:rsid w:val="00412E05"/>
    <w:rsid w:val="00457034"/>
    <w:rsid w:val="00467789"/>
    <w:rsid w:val="00483936"/>
    <w:rsid w:val="004C2DFF"/>
    <w:rsid w:val="004D53B8"/>
    <w:rsid w:val="004E0F82"/>
    <w:rsid w:val="00515236"/>
    <w:rsid w:val="00575342"/>
    <w:rsid w:val="005B6525"/>
    <w:rsid w:val="005C2704"/>
    <w:rsid w:val="00620374"/>
    <w:rsid w:val="00626397"/>
    <w:rsid w:val="00627A99"/>
    <w:rsid w:val="006448C7"/>
    <w:rsid w:val="006665E1"/>
    <w:rsid w:val="00687DFD"/>
    <w:rsid w:val="00694574"/>
    <w:rsid w:val="006A070A"/>
    <w:rsid w:val="00704FE6"/>
    <w:rsid w:val="00711929"/>
    <w:rsid w:val="007253CC"/>
    <w:rsid w:val="0073204E"/>
    <w:rsid w:val="0077535D"/>
    <w:rsid w:val="007A47A6"/>
    <w:rsid w:val="007D2FE9"/>
    <w:rsid w:val="008029AC"/>
    <w:rsid w:val="008253B2"/>
    <w:rsid w:val="00833506"/>
    <w:rsid w:val="00840A92"/>
    <w:rsid w:val="0084349F"/>
    <w:rsid w:val="008779F2"/>
    <w:rsid w:val="008A7100"/>
    <w:rsid w:val="009203CF"/>
    <w:rsid w:val="00922D3C"/>
    <w:rsid w:val="0094442D"/>
    <w:rsid w:val="00944D2D"/>
    <w:rsid w:val="0096638F"/>
    <w:rsid w:val="009730B2"/>
    <w:rsid w:val="009D6EA3"/>
    <w:rsid w:val="00A570CB"/>
    <w:rsid w:val="00AE6B92"/>
    <w:rsid w:val="00B14F66"/>
    <w:rsid w:val="00B43416"/>
    <w:rsid w:val="00B501A8"/>
    <w:rsid w:val="00B87286"/>
    <w:rsid w:val="00B94789"/>
    <w:rsid w:val="00BF7BAD"/>
    <w:rsid w:val="00C62501"/>
    <w:rsid w:val="00C71193"/>
    <w:rsid w:val="00CF1234"/>
    <w:rsid w:val="00CF25B2"/>
    <w:rsid w:val="00D32CF1"/>
    <w:rsid w:val="00D47D9A"/>
    <w:rsid w:val="00D646D4"/>
    <w:rsid w:val="00DA0981"/>
    <w:rsid w:val="00DB57C6"/>
    <w:rsid w:val="00DF0A94"/>
    <w:rsid w:val="00E15413"/>
    <w:rsid w:val="00E2683E"/>
    <w:rsid w:val="00E32F0F"/>
    <w:rsid w:val="00E457C2"/>
    <w:rsid w:val="00E72C1B"/>
    <w:rsid w:val="00E80964"/>
    <w:rsid w:val="00E81C1D"/>
    <w:rsid w:val="00EE2EB8"/>
    <w:rsid w:val="00F07EF2"/>
    <w:rsid w:val="00F353CB"/>
    <w:rsid w:val="00F43DB7"/>
    <w:rsid w:val="00F5208A"/>
    <w:rsid w:val="00F94E71"/>
    <w:rsid w:val="016478F4"/>
    <w:rsid w:val="05F34457"/>
    <w:rsid w:val="089B260D"/>
    <w:rsid w:val="09550CC1"/>
    <w:rsid w:val="09F850DF"/>
    <w:rsid w:val="0D03664E"/>
    <w:rsid w:val="16BE3AB0"/>
    <w:rsid w:val="1825554A"/>
    <w:rsid w:val="19524380"/>
    <w:rsid w:val="195B607F"/>
    <w:rsid w:val="19836A30"/>
    <w:rsid w:val="1EB81462"/>
    <w:rsid w:val="1F7252E7"/>
    <w:rsid w:val="1FB64142"/>
    <w:rsid w:val="21997D01"/>
    <w:rsid w:val="221819BC"/>
    <w:rsid w:val="2F240817"/>
    <w:rsid w:val="2F5707CF"/>
    <w:rsid w:val="30274161"/>
    <w:rsid w:val="375548D2"/>
    <w:rsid w:val="3FA016BB"/>
    <w:rsid w:val="3FBF3121"/>
    <w:rsid w:val="3FE947AA"/>
    <w:rsid w:val="429F5DD9"/>
    <w:rsid w:val="42E85458"/>
    <w:rsid w:val="45F33215"/>
    <w:rsid w:val="46585B96"/>
    <w:rsid w:val="46FF7BD5"/>
    <w:rsid w:val="4D063625"/>
    <w:rsid w:val="4D9F7B9D"/>
    <w:rsid w:val="52900446"/>
    <w:rsid w:val="56AC797B"/>
    <w:rsid w:val="58916E58"/>
    <w:rsid w:val="59422E30"/>
    <w:rsid w:val="5DEF17A5"/>
    <w:rsid w:val="5EFF386A"/>
    <w:rsid w:val="5F9F5136"/>
    <w:rsid w:val="61717691"/>
    <w:rsid w:val="64E45C27"/>
    <w:rsid w:val="651C2EE6"/>
    <w:rsid w:val="667A754C"/>
    <w:rsid w:val="679A19BD"/>
    <w:rsid w:val="68496314"/>
    <w:rsid w:val="6AEB7832"/>
    <w:rsid w:val="6B2E643B"/>
    <w:rsid w:val="716442CB"/>
    <w:rsid w:val="718860E6"/>
    <w:rsid w:val="72A65155"/>
    <w:rsid w:val="7709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semiHidden="0" w:name="heading 2"/>
    <w:lsdException w:qFormat="1" w:uiPriority="1"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54"/>
    <w:qFormat/>
    <w:uiPriority w:val="1"/>
    <w:pPr>
      <w:tabs>
        <w:tab w:val="left" w:pos="0"/>
        <w:tab w:val="left" w:pos="3285"/>
      </w:tabs>
      <w:spacing w:before="10" w:after="10" w:line="360" w:lineRule="auto"/>
      <w:outlineLvl w:val="0"/>
    </w:pPr>
    <w:rPr>
      <w:rFonts w:ascii="Calibri" w:hAnsi="Calibri" w:eastAsia="宋体"/>
      <w:b/>
      <w:sz w:val="32"/>
    </w:rPr>
  </w:style>
  <w:style w:type="paragraph" w:styleId="5">
    <w:name w:val="heading 2"/>
    <w:basedOn w:val="1"/>
    <w:next w:val="1"/>
    <w:link w:val="51"/>
    <w:unhideWhenUsed/>
    <w:qFormat/>
    <w:uiPriority w:val="1"/>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63"/>
    <w:unhideWhenUsed/>
    <w:qFormat/>
    <w:uiPriority w:val="1"/>
    <w:pPr>
      <w:keepNext/>
      <w:keepLines/>
      <w:spacing w:before="260" w:after="260" w:line="416" w:lineRule="auto"/>
      <w:outlineLvl w:val="2"/>
    </w:pPr>
    <w:rPr>
      <w:b/>
      <w:bCs/>
      <w:sz w:val="32"/>
      <w:szCs w:val="32"/>
    </w:rPr>
  </w:style>
  <w:style w:type="paragraph" w:styleId="7">
    <w:name w:val="heading 4"/>
    <w:basedOn w:val="1"/>
    <w:next w:val="1"/>
    <w:link w:val="64"/>
    <w:qFormat/>
    <w:uiPriority w:val="0"/>
    <w:pPr>
      <w:keepNext/>
      <w:keepLines/>
      <w:spacing w:before="280" w:after="290" w:line="372" w:lineRule="auto"/>
      <w:outlineLvl w:val="3"/>
    </w:pPr>
    <w:rPr>
      <w:rFonts w:ascii="Arial" w:hAnsi="Arial" w:eastAsia="黑体"/>
      <w:b/>
      <w:sz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52"/>
    <w:qFormat/>
    <w:uiPriority w:val="99"/>
    <w:pPr>
      <w:widowControl/>
      <w:adjustRightInd w:val="0"/>
      <w:snapToGrid w:val="0"/>
      <w:spacing w:before="150" w:after="150" w:line="264" w:lineRule="auto"/>
      <w:ind w:firstLine="567"/>
    </w:pPr>
    <w:rPr>
      <w:rFonts w:ascii="华文楷体" w:hAnsi="华文楷体" w:eastAsia="LF_Kai"/>
      <w:kern w:val="0"/>
      <w:sz w:val="24"/>
      <w:szCs w:val="20"/>
      <w:lang w:val="en-GB"/>
    </w:rPr>
  </w:style>
  <w:style w:type="paragraph" w:styleId="3">
    <w:name w:val="toc 1"/>
    <w:basedOn w:val="1"/>
    <w:next w:val="1"/>
    <w:qFormat/>
    <w:uiPriority w:val="39"/>
    <w:pPr>
      <w:adjustRightInd w:val="0"/>
      <w:snapToGrid w:val="0"/>
      <w:spacing w:before="120" w:after="120"/>
      <w:jc w:val="left"/>
    </w:pPr>
    <w:rPr>
      <w:rFonts w:ascii="Calibri" w:hAnsi="Calibri" w:eastAsia="仿宋_GB2312" w:cs="Calibri"/>
      <w:b/>
      <w:bCs/>
      <w:caps/>
      <w:sz w:val="28"/>
      <w:szCs w:val="28"/>
    </w:rPr>
  </w:style>
  <w:style w:type="paragraph" w:styleId="8">
    <w:name w:val="toc 7"/>
    <w:basedOn w:val="1"/>
    <w:next w:val="1"/>
    <w:unhideWhenUsed/>
    <w:qFormat/>
    <w:uiPriority w:val="39"/>
    <w:pPr>
      <w:ind w:left="2520" w:leftChars="1200"/>
    </w:pPr>
    <w:rPr>
      <w:szCs w:val="22"/>
    </w:rPr>
  </w:style>
  <w:style w:type="paragraph" w:styleId="9">
    <w:name w:val="table of authorities"/>
    <w:basedOn w:val="1"/>
    <w:next w:val="1"/>
    <w:unhideWhenUsed/>
    <w:qFormat/>
    <w:uiPriority w:val="99"/>
    <w:pPr>
      <w:spacing w:line="360" w:lineRule="auto"/>
      <w:ind w:left="420" w:leftChars="200" w:firstLine="720" w:firstLineChars="200"/>
    </w:pPr>
    <w:rPr>
      <w:rFonts w:ascii="仿宋" w:hAnsi="仿宋" w:eastAsia="仿宋" w:cs="仿宋"/>
      <w:sz w:val="28"/>
    </w:rPr>
  </w:style>
  <w:style w:type="paragraph" w:styleId="10">
    <w:name w:val="Normal Indent"/>
    <w:basedOn w:val="1"/>
    <w:qFormat/>
    <w:uiPriority w:val="0"/>
    <w:pPr>
      <w:spacing w:line="360" w:lineRule="auto"/>
      <w:ind w:firstLine="420" w:firstLineChars="200"/>
    </w:pPr>
    <w:rPr>
      <w:rFonts w:eastAsia="仿宋"/>
      <w:sz w:val="28"/>
    </w:rPr>
  </w:style>
  <w:style w:type="paragraph" w:styleId="11">
    <w:name w:val="annotation text"/>
    <w:basedOn w:val="1"/>
    <w:link w:val="55"/>
    <w:qFormat/>
    <w:uiPriority w:val="0"/>
    <w:pPr>
      <w:spacing w:line="360" w:lineRule="auto"/>
      <w:ind w:firstLine="200" w:firstLineChars="200"/>
      <w:jc w:val="left"/>
    </w:pPr>
    <w:rPr>
      <w:rFonts w:eastAsia="仿宋"/>
      <w:sz w:val="28"/>
    </w:rPr>
  </w:style>
  <w:style w:type="paragraph" w:styleId="12">
    <w:name w:val="Body Text Indent"/>
    <w:basedOn w:val="1"/>
    <w:link w:val="56"/>
    <w:unhideWhenUsed/>
    <w:qFormat/>
    <w:uiPriority w:val="99"/>
    <w:pPr>
      <w:spacing w:after="120" w:line="360" w:lineRule="auto"/>
      <w:ind w:left="420" w:leftChars="200" w:firstLine="200" w:firstLineChars="200"/>
    </w:pPr>
    <w:rPr>
      <w:rFonts w:eastAsia="仿宋"/>
      <w:sz w:val="28"/>
    </w:rPr>
  </w:style>
  <w:style w:type="paragraph" w:styleId="13">
    <w:name w:val="Block Text"/>
    <w:basedOn w:val="1"/>
    <w:qFormat/>
    <w:uiPriority w:val="99"/>
    <w:pPr>
      <w:spacing w:line="300" w:lineRule="exact"/>
      <w:ind w:left="-105" w:leftChars="-50" w:right="-105" w:rightChars="-50"/>
      <w:jc w:val="center"/>
    </w:pPr>
    <w:rPr>
      <w:rFonts w:ascii="宋体" w:hAnsi="宋体" w:eastAsia="仿宋" w:cs="仿宋"/>
      <w:sz w:val="18"/>
      <w:szCs w:val="20"/>
    </w:rPr>
  </w:style>
  <w:style w:type="paragraph" w:styleId="14">
    <w:name w:val="toc 5"/>
    <w:basedOn w:val="1"/>
    <w:next w:val="1"/>
    <w:unhideWhenUsed/>
    <w:qFormat/>
    <w:uiPriority w:val="39"/>
    <w:pPr>
      <w:ind w:left="1680" w:leftChars="800"/>
    </w:pPr>
    <w:rPr>
      <w:szCs w:val="22"/>
    </w:rPr>
  </w:style>
  <w:style w:type="paragraph" w:styleId="15">
    <w:name w:val="toc 3"/>
    <w:basedOn w:val="1"/>
    <w:next w:val="1"/>
    <w:qFormat/>
    <w:uiPriority w:val="39"/>
    <w:pPr>
      <w:spacing w:line="360" w:lineRule="auto"/>
      <w:ind w:left="840" w:leftChars="400" w:firstLine="200" w:firstLineChars="200"/>
    </w:pPr>
    <w:rPr>
      <w:rFonts w:eastAsia="仿宋"/>
      <w:sz w:val="28"/>
    </w:rPr>
  </w:style>
  <w:style w:type="paragraph" w:styleId="16">
    <w:name w:val="toc 8"/>
    <w:basedOn w:val="1"/>
    <w:next w:val="1"/>
    <w:unhideWhenUsed/>
    <w:qFormat/>
    <w:uiPriority w:val="39"/>
    <w:pPr>
      <w:ind w:left="2940" w:leftChars="1400"/>
    </w:pPr>
    <w:rPr>
      <w:szCs w:val="22"/>
    </w:rPr>
  </w:style>
  <w:style w:type="paragraph" w:styleId="17">
    <w:name w:val="Balloon Text"/>
    <w:basedOn w:val="1"/>
    <w:link w:val="57"/>
    <w:qFormat/>
    <w:uiPriority w:val="0"/>
    <w:pPr>
      <w:ind w:firstLine="200" w:firstLineChars="200"/>
    </w:pPr>
    <w:rPr>
      <w:rFonts w:eastAsia="仿宋"/>
      <w:sz w:val="18"/>
      <w:szCs w:val="18"/>
    </w:rPr>
  </w:style>
  <w:style w:type="paragraph" w:styleId="18">
    <w:name w:val="footer"/>
    <w:basedOn w:val="1"/>
    <w:link w:val="53"/>
    <w:unhideWhenUsed/>
    <w:qFormat/>
    <w:uiPriority w:val="99"/>
    <w:pPr>
      <w:tabs>
        <w:tab w:val="center" w:pos="4153"/>
        <w:tab w:val="right" w:pos="8306"/>
      </w:tabs>
      <w:snapToGrid w:val="0"/>
    </w:pPr>
    <w:rPr>
      <w:sz w:val="18"/>
      <w:szCs w:val="18"/>
    </w:rPr>
  </w:style>
  <w:style w:type="paragraph" w:styleId="19">
    <w:name w:val="header"/>
    <w:basedOn w:val="1"/>
    <w:link w:val="171"/>
    <w:unhideWhenUsed/>
    <w:qFormat/>
    <w:uiPriority w:val="0"/>
    <w:pPr>
      <w:pBdr>
        <w:bottom w:val="single" w:color="auto" w:sz="6" w:space="1"/>
      </w:pBdr>
      <w:tabs>
        <w:tab w:val="center" w:pos="4153"/>
        <w:tab w:val="right" w:pos="8306"/>
      </w:tabs>
      <w:snapToGrid w:val="0"/>
      <w:jc w:val="center"/>
    </w:pPr>
    <w:rPr>
      <w:sz w:val="18"/>
      <w:szCs w:val="18"/>
    </w:rPr>
  </w:style>
  <w:style w:type="paragraph" w:styleId="20">
    <w:name w:val="toc 4"/>
    <w:basedOn w:val="1"/>
    <w:next w:val="1"/>
    <w:unhideWhenUsed/>
    <w:qFormat/>
    <w:uiPriority w:val="39"/>
    <w:pPr>
      <w:ind w:left="1260" w:leftChars="600"/>
    </w:pPr>
    <w:rPr>
      <w:szCs w:val="22"/>
    </w:rPr>
  </w:style>
  <w:style w:type="paragraph" w:styleId="21">
    <w:name w:val="Subtitle"/>
    <w:basedOn w:val="1"/>
    <w:next w:val="1"/>
    <w:link w:val="58"/>
    <w:qFormat/>
    <w:uiPriority w:val="0"/>
    <w:pPr>
      <w:adjustRightInd w:val="0"/>
      <w:snapToGrid w:val="0"/>
      <w:spacing w:before="240" w:after="60" w:line="312" w:lineRule="auto"/>
      <w:ind w:firstLine="200" w:firstLineChars="200"/>
      <w:jc w:val="center"/>
    </w:pPr>
    <w:rPr>
      <w:rFonts w:ascii="Cambria" w:hAnsi="Cambria" w:eastAsia="黑体"/>
      <w:b/>
      <w:bCs/>
      <w:kern w:val="28"/>
      <w:sz w:val="24"/>
      <w:szCs w:val="32"/>
    </w:rPr>
  </w:style>
  <w:style w:type="paragraph" w:styleId="22">
    <w:name w:val="toc 6"/>
    <w:basedOn w:val="1"/>
    <w:next w:val="1"/>
    <w:unhideWhenUsed/>
    <w:qFormat/>
    <w:uiPriority w:val="39"/>
    <w:pPr>
      <w:ind w:left="2100" w:leftChars="1000"/>
    </w:pPr>
    <w:rPr>
      <w:szCs w:val="22"/>
    </w:rPr>
  </w:style>
  <w:style w:type="paragraph" w:styleId="23">
    <w:name w:val="table of figures"/>
    <w:basedOn w:val="1"/>
    <w:next w:val="1"/>
    <w:qFormat/>
    <w:uiPriority w:val="99"/>
    <w:pPr>
      <w:spacing w:line="360" w:lineRule="auto"/>
      <w:ind w:left="840" w:leftChars="200" w:hanging="420" w:hangingChars="200"/>
    </w:pPr>
    <w:rPr>
      <w:rFonts w:ascii="Calibri" w:hAnsi="Calibri" w:eastAsia="仿宋" w:cs="仿宋"/>
      <w:sz w:val="28"/>
    </w:rPr>
  </w:style>
  <w:style w:type="paragraph" w:styleId="24">
    <w:name w:val="toc 2"/>
    <w:basedOn w:val="1"/>
    <w:next w:val="1"/>
    <w:qFormat/>
    <w:uiPriority w:val="39"/>
    <w:pPr>
      <w:spacing w:line="360" w:lineRule="auto"/>
      <w:ind w:left="420" w:leftChars="200" w:firstLine="200" w:firstLineChars="200"/>
    </w:pPr>
    <w:rPr>
      <w:rFonts w:eastAsia="仿宋"/>
      <w:sz w:val="28"/>
    </w:rPr>
  </w:style>
  <w:style w:type="paragraph" w:styleId="25">
    <w:name w:val="toc 9"/>
    <w:basedOn w:val="1"/>
    <w:next w:val="1"/>
    <w:unhideWhenUsed/>
    <w:qFormat/>
    <w:uiPriority w:val="39"/>
    <w:pPr>
      <w:ind w:left="3360" w:leftChars="1600"/>
    </w:pPr>
    <w:rPr>
      <w:szCs w:val="22"/>
    </w:rPr>
  </w:style>
  <w:style w:type="paragraph" w:styleId="26">
    <w:name w:val="Body Text 2"/>
    <w:basedOn w:val="1"/>
    <w:link w:val="59"/>
    <w:qFormat/>
    <w:uiPriority w:val="99"/>
    <w:pPr>
      <w:spacing w:after="120" w:line="480" w:lineRule="auto"/>
      <w:ind w:firstLine="560" w:firstLineChars="200"/>
    </w:pPr>
    <w:rPr>
      <w:rFonts w:ascii="Calibri" w:hAnsi="Calibri" w:eastAsia="仿宋"/>
      <w:sz w:val="28"/>
    </w:rPr>
  </w:style>
  <w:style w:type="paragraph" w:styleId="27">
    <w:name w:val="Normal (Web)"/>
    <w:basedOn w:val="1"/>
    <w:qFormat/>
    <w:uiPriority w:val="0"/>
    <w:pPr>
      <w:spacing w:before="100" w:beforeAutospacing="1" w:after="100" w:afterAutospacing="1" w:line="360" w:lineRule="auto"/>
      <w:ind w:firstLine="200" w:firstLineChars="200"/>
      <w:jc w:val="left"/>
    </w:pPr>
    <w:rPr>
      <w:rFonts w:eastAsia="仿宋" w:cs="Times New Roman"/>
      <w:kern w:val="0"/>
      <w:sz w:val="24"/>
    </w:rPr>
  </w:style>
  <w:style w:type="paragraph" w:styleId="28">
    <w:name w:val="annotation subject"/>
    <w:basedOn w:val="11"/>
    <w:next w:val="11"/>
    <w:link w:val="60"/>
    <w:qFormat/>
    <w:uiPriority w:val="0"/>
    <w:rPr>
      <w:b/>
      <w:bCs/>
    </w:rPr>
  </w:style>
  <w:style w:type="paragraph" w:styleId="29">
    <w:name w:val="Body Text First Indent"/>
    <w:basedOn w:val="2"/>
    <w:link w:val="61"/>
    <w:qFormat/>
    <w:uiPriority w:val="99"/>
    <w:pPr>
      <w:adjustRightInd/>
      <w:spacing w:before="0" w:after="120" w:line="360" w:lineRule="auto"/>
      <w:ind w:firstLine="420" w:firstLineChars="100"/>
    </w:pPr>
    <w:rPr>
      <w:kern w:val="2"/>
      <w:sz w:val="21"/>
    </w:rPr>
  </w:style>
  <w:style w:type="paragraph" w:styleId="30">
    <w:name w:val="Body Text First Indent 2"/>
    <w:basedOn w:val="12"/>
    <w:next w:val="1"/>
    <w:link w:val="62"/>
    <w:qFormat/>
    <w:uiPriority w:val="0"/>
    <w:pPr>
      <w:ind w:firstLine="420"/>
    </w:p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0"/>
    <w:rPr>
      <w:b/>
    </w:rPr>
  </w:style>
  <w:style w:type="character" w:styleId="35">
    <w:name w:val="FollowedHyperlink"/>
    <w:basedOn w:val="33"/>
    <w:qFormat/>
    <w:uiPriority w:val="99"/>
    <w:rPr>
      <w:color w:val="338DE6"/>
      <w:u w:val="none"/>
    </w:rPr>
  </w:style>
  <w:style w:type="character" w:styleId="36">
    <w:name w:val="Emphasis"/>
    <w:basedOn w:val="33"/>
    <w:qFormat/>
    <w:uiPriority w:val="0"/>
    <w:rPr>
      <w:i/>
    </w:rPr>
  </w:style>
  <w:style w:type="character" w:styleId="37">
    <w:name w:val="HTML Definition"/>
    <w:basedOn w:val="33"/>
    <w:qFormat/>
    <w:uiPriority w:val="0"/>
  </w:style>
  <w:style w:type="character" w:styleId="38">
    <w:name w:val="HTML Acronym"/>
    <w:basedOn w:val="33"/>
    <w:qFormat/>
    <w:uiPriority w:val="0"/>
  </w:style>
  <w:style w:type="character" w:styleId="39">
    <w:name w:val="HTML Variable"/>
    <w:basedOn w:val="33"/>
    <w:qFormat/>
    <w:uiPriority w:val="0"/>
  </w:style>
  <w:style w:type="character" w:styleId="40">
    <w:name w:val="Hyperlink"/>
    <w:basedOn w:val="33"/>
    <w:qFormat/>
    <w:uiPriority w:val="99"/>
    <w:rPr>
      <w:color w:val="0000FF"/>
      <w:u w:val="single"/>
    </w:rPr>
  </w:style>
  <w:style w:type="character" w:styleId="41">
    <w:name w:val="HTML Code"/>
    <w:basedOn w:val="33"/>
    <w:qFormat/>
    <w:uiPriority w:val="0"/>
    <w:rPr>
      <w:rFonts w:hint="default" w:ascii="serif" w:hAnsi="serif" w:eastAsia="serif" w:cs="serif"/>
      <w:sz w:val="21"/>
      <w:szCs w:val="21"/>
    </w:rPr>
  </w:style>
  <w:style w:type="character" w:styleId="42">
    <w:name w:val="annotation reference"/>
    <w:basedOn w:val="33"/>
    <w:qFormat/>
    <w:uiPriority w:val="0"/>
    <w:rPr>
      <w:sz w:val="21"/>
      <w:szCs w:val="21"/>
    </w:rPr>
  </w:style>
  <w:style w:type="character" w:styleId="43">
    <w:name w:val="HTML Cite"/>
    <w:basedOn w:val="33"/>
    <w:qFormat/>
    <w:uiPriority w:val="0"/>
  </w:style>
  <w:style w:type="character" w:styleId="44">
    <w:name w:val="HTML Keyboard"/>
    <w:basedOn w:val="33"/>
    <w:qFormat/>
    <w:uiPriority w:val="0"/>
    <w:rPr>
      <w:rFonts w:ascii="serif" w:hAnsi="serif" w:eastAsia="serif" w:cs="serif"/>
      <w:sz w:val="21"/>
      <w:szCs w:val="21"/>
    </w:rPr>
  </w:style>
  <w:style w:type="character" w:styleId="45">
    <w:name w:val="HTML Sample"/>
    <w:basedOn w:val="33"/>
    <w:qFormat/>
    <w:uiPriority w:val="0"/>
    <w:rPr>
      <w:rFonts w:hint="default" w:ascii="serif" w:hAnsi="serif" w:eastAsia="serif" w:cs="serif"/>
      <w:sz w:val="21"/>
      <w:szCs w:val="21"/>
    </w:rPr>
  </w:style>
  <w:style w:type="paragraph" w:customStyle="1" w:styleId="46">
    <w:name w:val="样式8"/>
    <w:basedOn w:val="1"/>
    <w:link w:val="50"/>
    <w:qFormat/>
    <w:uiPriority w:val="0"/>
    <w:pPr>
      <w:spacing w:line="360" w:lineRule="auto"/>
      <w:ind w:firstLine="720" w:firstLineChars="200"/>
    </w:pPr>
    <w:rPr>
      <w:rFonts w:ascii="Times New Roman" w:hAnsi="Times New Roman" w:eastAsia="仿宋"/>
      <w:sz w:val="28"/>
    </w:rPr>
  </w:style>
  <w:style w:type="paragraph" w:customStyle="1" w:styleId="47">
    <w:name w:val="Default"/>
    <w:qFormat/>
    <w:uiPriority w:val="0"/>
    <w:pPr>
      <w:widowControl w:val="0"/>
      <w:autoSpaceDE w:val="0"/>
      <w:autoSpaceDN w:val="0"/>
      <w:adjustRightInd w:val="0"/>
    </w:pPr>
    <w:rPr>
      <w:rFonts w:ascii="Univers 45 Light" w:hAnsi="Times New Roman" w:eastAsia="Univers 45 Light" w:cs="Univers 45 Light"/>
      <w:color w:val="000000"/>
      <w:sz w:val="24"/>
      <w:szCs w:val="24"/>
      <w:lang w:val="en-US" w:eastAsia="zh-CN" w:bidi="ar-SA"/>
    </w:rPr>
  </w:style>
  <w:style w:type="character" w:customStyle="1" w:styleId="48">
    <w:name w:val="font21"/>
    <w:basedOn w:val="33"/>
    <w:qFormat/>
    <w:uiPriority w:val="0"/>
    <w:rPr>
      <w:rFonts w:hint="default" w:ascii="Times New Roman" w:hAnsi="Times New Roman" w:cs="Times New Roman"/>
      <w:color w:val="000000"/>
      <w:sz w:val="28"/>
      <w:szCs w:val="28"/>
      <w:u w:val="none"/>
    </w:rPr>
  </w:style>
  <w:style w:type="character" w:customStyle="1" w:styleId="49">
    <w:name w:val="font31"/>
    <w:basedOn w:val="33"/>
    <w:qFormat/>
    <w:uiPriority w:val="0"/>
    <w:rPr>
      <w:rFonts w:hint="eastAsia" w:ascii="宋体" w:hAnsi="宋体" w:eastAsia="宋体" w:cs="宋体"/>
      <w:color w:val="000000"/>
      <w:sz w:val="20"/>
      <w:szCs w:val="20"/>
      <w:u w:val="none"/>
    </w:rPr>
  </w:style>
  <w:style w:type="character" w:customStyle="1" w:styleId="50">
    <w:name w:val="样式8 Char1"/>
    <w:link w:val="46"/>
    <w:qFormat/>
    <w:uiPriority w:val="0"/>
    <w:rPr>
      <w:rFonts w:ascii="Times New Roman" w:hAnsi="Times New Roman" w:eastAsia="仿宋"/>
      <w:sz w:val="28"/>
      <w:szCs w:val="24"/>
    </w:rPr>
  </w:style>
  <w:style w:type="character" w:customStyle="1" w:styleId="51">
    <w:name w:val="标题 2 字符"/>
    <w:basedOn w:val="33"/>
    <w:link w:val="5"/>
    <w:qFormat/>
    <w:uiPriority w:val="1"/>
    <w:rPr>
      <w:rFonts w:asciiTheme="majorHAnsi" w:hAnsiTheme="majorHAnsi" w:eastAsiaTheme="majorEastAsia" w:cstheme="majorBidi"/>
      <w:b/>
      <w:bCs/>
      <w:kern w:val="2"/>
      <w:sz w:val="32"/>
      <w:szCs w:val="32"/>
    </w:rPr>
  </w:style>
  <w:style w:type="character" w:customStyle="1" w:styleId="52">
    <w:name w:val="正文文本 字符"/>
    <w:basedOn w:val="33"/>
    <w:link w:val="2"/>
    <w:qFormat/>
    <w:uiPriority w:val="99"/>
    <w:rPr>
      <w:rFonts w:ascii="华文楷体" w:hAnsi="华文楷体" w:eastAsia="LF_Kai" w:cstheme="minorBidi"/>
      <w:sz w:val="24"/>
      <w:lang w:val="en-GB"/>
    </w:rPr>
  </w:style>
  <w:style w:type="character" w:customStyle="1" w:styleId="53">
    <w:name w:val="页脚 字符"/>
    <w:basedOn w:val="33"/>
    <w:link w:val="18"/>
    <w:qFormat/>
    <w:uiPriority w:val="99"/>
    <w:rPr>
      <w:rFonts w:asciiTheme="minorHAnsi" w:hAnsiTheme="minorHAnsi" w:eastAsiaTheme="minorEastAsia" w:cstheme="minorBidi"/>
      <w:kern w:val="2"/>
      <w:sz w:val="18"/>
      <w:szCs w:val="18"/>
    </w:rPr>
  </w:style>
  <w:style w:type="character" w:customStyle="1" w:styleId="54">
    <w:name w:val="标题 1 字符"/>
    <w:basedOn w:val="33"/>
    <w:link w:val="4"/>
    <w:qFormat/>
    <w:uiPriority w:val="1"/>
    <w:rPr>
      <w:rFonts w:ascii="Calibri" w:hAnsi="Calibri" w:cstheme="minorBidi"/>
      <w:b/>
      <w:kern w:val="2"/>
      <w:sz w:val="32"/>
      <w:szCs w:val="24"/>
    </w:rPr>
  </w:style>
  <w:style w:type="character" w:customStyle="1" w:styleId="55">
    <w:name w:val="批注文字 字符"/>
    <w:basedOn w:val="33"/>
    <w:link w:val="11"/>
    <w:qFormat/>
    <w:uiPriority w:val="0"/>
    <w:rPr>
      <w:rFonts w:eastAsia="仿宋" w:asciiTheme="minorHAnsi" w:hAnsiTheme="minorHAnsi" w:cstheme="minorBidi"/>
      <w:kern w:val="2"/>
      <w:sz w:val="28"/>
      <w:szCs w:val="24"/>
    </w:rPr>
  </w:style>
  <w:style w:type="character" w:customStyle="1" w:styleId="56">
    <w:name w:val="正文文本缩进 字符"/>
    <w:basedOn w:val="33"/>
    <w:link w:val="12"/>
    <w:qFormat/>
    <w:uiPriority w:val="99"/>
    <w:rPr>
      <w:rFonts w:eastAsia="仿宋" w:asciiTheme="minorHAnsi" w:hAnsiTheme="minorHAnsi" w:cstheme="minorBidi"/>
      <w:kern w:val="2"/>
      <w:sz w:val="28"/>
      <w:szCs w:val="24"/>
    </w:rPr>
  </w:style>
  <w:style w:type="character" w:customStyle="1" w:styleId="57">
    <w:name w:val="批注框文本 字符"/>
    <w:basedOn w:val="33"/>
    <w:link w:val="17"/>
    <w:qFormat/>
    <w:uiPriority w:val="0"/>
    <w:rPr>
      <w:rFonts w:eastAsia="仿宋" w:asciiTheme="minorHAnsi" w:hAnsiTheme="minorHAnsi" w:cstheme="minorBidi"/>
      <w:kern w:val="2"/>
      <w:sz w:val="18"/>
      <w:szCs w:val="18"/>
    </w:rPr>
  </w:style>
  <w:style w:type="character" w:customStyle="1" w:styleId="58">
    <w:name w:val="副标题 字符"/>
    <w:basedOn w:val="33"/>
    <w:link w:val="21"/>
    <w:qFormat/>
    <w:uiPriority w:val="0"/>
    <w:rPr>
      <w:rFonts w:ascii="Cambria" w:hAnsi="Cambria" w:eastAsia="黑体" w:cstheme="minorBidi"/>
      <w:b/>
      <w:bCs/>
      <w:kern w:val="28"/>
      <w:sz w:val="24"/>
      <w:szCs w:val="32"/>
    </w:rPr>
  </w:style>
  <w:style w:type="character" w:customStyle="1" w:styleId="59">
    <w:name w:val="正文文本 2 字符"/>
    <w:basedOn w:val="33"/>
    <w:link w:val="26"/>
    <w:qFormat/>
    <w:uiPriority w:val="99"/>
    <w:rPr>
      <w:rFonts w:ascii="Calibri" w:hAnsi="Calibri" w:eastAsia="仿宋" w:cstheme="minorBidi"/>
      <w:kern w:val="2"/>
      <w:sz w:val="28"/>
      <w:szCs w:val="24"/>
    </w:rPr>
  </w:style>
  <w:style w:type="character" w:customStyle="1" w:styleId="60">
    <w:name w:val="批注主题 字符"/>
    <w:basedOn w:val="55"/>
    <w:link w:val="28"/>
    <w:qFormat/>
    <w:uiPriority w:val="0"/>
    <w:rPr>
      <w:rFonts w:eastAsia="仿宋" w:asciiTheme="minorHAnsi" w:hAnsiTheme="minorHAnsi" w:cstheme="minorBidi"/>
      <w:b/>
      <w:bCs/>
      <w:kern w:val="2"/>
      <w:sz w:val="28"/>
      <w:szCs w:val="24"/>
    </w:rPr>
  </w:style>
  <w:style w:type="character" w:customStyle="1" w:styleId="61">
    <w:name w:val="正文文本首行缩进 字符"/>
    <w:basedOn w:val="52"/>
    <w:link w:val="29"/>
    <w:qFormat/>
    <w:uiPriority w:val="99"/>
    <w:rPr>
      <w:rFonts w:ascii="华文楷体" w:hAnsi="华文楷体" w:eastAsia="LF_Kai" w:cstheme="minorBidi"/>
      <w:kern w:val="2"/>
      <w:sz w:val="21"/>
      <w:lang w:val="en-GB"/>
    </w:rPr>
  </w:style>
  <w:style w:type="character" w:customStyle="1" w:styleId="62">
    <w:name w:val="正文文本首行缩进 2 字符"/>
    <w:basedOn w:val="56"/>
    <w:link w:val="30"/>
    <w:qFormat/>
    <w:uiPriority w:val="0"/>
    <w:rPr>
      <w:rFonts w:eastAsia="仿宋" w:asciiTheme="minorHAnsi" w:hAnsiTheme="minorHAnsi" w:cstheme="minorBidi"/>
      <w:kern w:val="2"/>
      <w:sz w:val="28"/>
      <w:szCs w:val="24"/>
    </w:rPr>
  </w:style>
  <w:style w:type="character" w:customStyle="1" w:styleId="63">
    <w:name w:val="标题 3 字符"/>
    <w:link w:val="6"/>
    <w:qFormat/>
    <w:uiPriority w:val="1"/>
    <w:rPr>
      <w:rFonts w:asciiTheme="minorHAnsi" w:hAnsiTheme="minorHAnsi" w:eastAsiaTheme="minorEastAsia" w:cstheme="minorBidi"/>
      <w:b/>
      <w:bCs/>
      <w:kern w:val="2"/>
      <w:sz w:val="32"/>
      <w:szCs w:val="32"/>
    </w:rPr>
  </w:style>
  <w:style w:type="character" w:customStyle="1" w:styleId="64">
    <w:name w:val="标题 4 字符"/>
    <w:basedOn w:val="33"/>
    <w:link w:val="7"/>
    <w:qFormat/>
    <w:uiPriority w:val="0"/>
    <w:rPr>
      <w:rFonts w:ascii="Arial" w:hAnsi="Arial" w:eastAsia="黑体" w:cstheme="minorBidi"/>
      <w:b/>
      <w:kern w:val="2"/>
      <w:sz w:val="28"/>
      <w:szCs w:val="24"/>
    </w:rPr>
  </w:style>
  <w:style w:type="paragraph" w:customStyle="1" w:styleId="65">
    <w:name w:val="样式4"/>
    <w:basedOn w:val="1"/>
    <w:qFormat/>
    <w:uiPriority w:val="0"/>
    <w:pPr>
      <w:ind w:firstLine="480" w:firstLineChars="200"/>
    </w:pPr>
    <w:rPr>
      <w:rFonts w:ascii="Times New Roman" w:hAnsi="宋体" w:eastAsia="宋体" w:cs="Times New Roman"/>
      <w:color w:val="000000"/>
      <w:kern w:val="0"/>
      <w:sz w:val="28"/>
    </w:rPr>
  </w:style>
  <w:style w:type="paragraph" w:customStyle="1" w:styleId="66">
    <w:name w:val="样式10"/>
    <w:basedOn w:val="1"/>
    <w:qFormat/>
    <w:uiPriority w:val="0"/>
    <w:pPr>
      <w:spacing w:line="360" w:lineRule="auto"/>
      <w:ind w:firstLine="480" w:firstLineChars="200"/>
    </w:pPr>
    <w:rPr>
      <w:rFonts w:ascii="Times New Roman" w:hAnsi="Times New Roman" w:eastAsia="宋体" w:cs="Times New Roman"/>
      <w:sz w:val="28"/>
    </w:rPr>
  </w:style>
  <w:style w:type="paragraph" w:customStyle="1" w:styleId="67">
    <w:name w:val="Table Paragraph"/>
    <w:basedOn w:val="1"/>
    <w:qFormat/>
    <w:uiPriority w:val="1"/>
    <w:pPr>
      <w:spacing w:line="360" w:lineRule="auto"/>
      <w:ind w:firstLine="200" w:firstLineChars="200"/>
    </w:pPr>
    <w:rPr>
      <w:rFonts w:ascii="宋体" w:hAnsi="宋体" w:eastAsia="宋体" w:cs="宋体"/>
      <w:sz w:val="28"/>
      <w:lang w:val="zh-CN" w:bidi="zh-CN"/>
    </w:rPr>
  </w:style>
  <w:style w:type="paragraph" w:styleId="68">
    <w:name w:val="List Paragraph"/>
    <w:basedOn w:val="1"/>
    <w:qFormat/>
    <w:uiPriority w:val="99"/>
    <w:pPr>
      <w:spacing w:line="360" w:lineRule="auto"/>
      <w:ind w:left="758" w:hanging="705" w:firstLineChars="200"/>
    </w:pPr>
    <w:rPr>
      <w:rFonts w:ascii="宋体" w:hAnsi="宋体" w:eastAsia="宋体" w:cs="宋体"/>
      <w:sz w:val="28"/>
      <w:lang w:val="zh-CN" w:bidi="zh-CN"/>
    </w:rPr>
  </w:style>
  <w:style w:type="paragraph" w:customStyle="1" w:styleId="69">
    <w:name w:val="章标题"/>
    <w:basedOn w:val="1"/>
    <w:next w:val="70"/>
    <w:qFormat/>
    <w:uiPriority w:val="0"/>
    <w:pPr>
      <w:widowControl/>
      <w:spacing w:before="158" w:after="153" w:line="323" w:lineRule="atLeast"/>
      <w:ind w:right="-120" w:firstLine="200" w:firstLineChars="200"/>
      <w:jc w:val="center"/>
      <w:textAlignment w:val="baseline"/>
    </w:pPr>
    <w:rPr>
      <w:rFonts w:eastAsia="仿宋"/>
      <w:color w:val="FF0000"/>
      <w:kern w:val="0"/>
      <w:sz w:val="18"/>
      <w:szCs w:val="18"/>
    </w:rPr>
  </w:style>
  <w:style w:type="paragraph" w:customStyle="1" w:styleId="70">
    <w:name w:val="节标题"/>
    <w:basedOn w:val="1"/>
    <w:next w:val="1"/>
    <w:qFormat/>
    <w:uiPriority w:val="0"/>
    <w:pPr>
      <w:widowControl/>
      <w:spacing w:line="289" w:lineRule="atLeast"/>
      <w:ind w:firstLine="200" w:firstLineChars="200"/>
      <w:jc w:val="center"/>
      <w:textAlignment w:val="baseline"/>
    </w:pPr>
    <w:rPr>
      <w:rFonts w:eastAsia="仿宋"/>
      <w:color w:val="000000"/>
      <w:kern w:val="0"/>
      <w:sz w:val="28"/>
      <w:szCs w:val="20"/>
      <w:u w:color="000000"/>
    </w:rPr>
  </w:style>
  <w:style w:type="character" w:customStyle="1" w:styleId="71">
    <w:name w:val="font01"/>
    <w:basedOn w:val="33"/>
    <w:qFormat/>
    <w:uiPriority w:val="0"/>
    <w:rPr>
      <w:rFonts w:hint="eastAsia" w:ascii="宋体" w:hAnsi="宋体" w:eastAsia="宋体" w:cs="宋体"/>
      <w:color w:val="000000"/>
      <w:sz w:val="20"/>
      <w:szCs w:val="20"/>
      <w:u w:val="none"/>
    </w:rPr>
  </w:style>
  <w:style w:type="character" w:customStyle="1" w:styleId="72">
    <w:name w:val="font11"/>
    <w:basedOn w:val="33"/>
    <w:qFormat/>
    <w:uiPriority w:val="0"/>
    <w:rPr>
      <w:rFonts w:hint="eastAsia" w:ascii="宋体" w:hAnsi="宋体" w:eastAsia="宋体" w:cs="宋体"/>
      <w:color w:val="000000"/>
      <w:sz w:val="20"/>
      <w:szCs w:val="20"/>
      <w:u w:val="none"/>
    </w:rPr>
  </w:style>
  <w:style w:type="character" w:customStyle="1" w:styleId="73">
    <w:name w:val="font41"/>
    <w:basedOn w:val="33"/>
    <w:qFormat/>
    <w:uiPriority w:val="0"/>
    <w:rPr>
      <w:rFonts w:hint="default" w:ascii="Times New Roman" w:hAnsi="Times New Roman" w:cs="Times New Roman"/>
      <w:color w:val="000000"/>
      <w:sz w:val="22"/>
      <w:szCs w:val="22"/>
      <w:u w:val="none"/>
    </w:rPr>
  </w:style>
  <w:style w:type="character" w:customStyle="1" w:styleId="74">
    <w:name w:val="font61"/>
    <w:basedOn w:val="33"/>
    <w:qFormat/>
    <w:uiPriority w:val="0"/>
    <w:rPr>
      <w:rFonts w:hint="eastAsia" w:ascii="宋体" w:hAnsi="宋体" w:eastAsia="宋体" w:cs="宋体"/>
      <w:color w:val="000000"/>
      <w:sz w:val="22"/>
      <w:szCs w:val="22"/>
      <w:u w:val="none"/>
    </w:rPr>
  </w:style>
  <w:style w:type="character" w:customStyle="1" w:styleId="75">
    <w:name w:val="font91"/>
    <w:basedOn w:val="33"/>
    <w:qFormat/>
    <w:uiPriority w:val="0"/>
    <w:rPr>
      <w:rFonts w:hint="default" w:ascii="Arial Narrow" w:hAnsi="Arial Narrow" w:eastAsia="Arial Narrow" w:cs="Arial Narrow"/>
      <w:color w:val="000000"/>
      <w:sz w:val="32"/>
      <w:szCs w:val="32"/>
      <w:u w:val="none"/>
    </w:rPr>
  </w:style>
  <w:style w:type="character" w:customStyle="1" w:styleId="76">
    <w:name w:val="font51"/>
    <w:basedOn w:val="33"/>
    <w:qFormat/>
    <w:uiPriority w:val="0"/>
    <w:rPr>
      <w:rFonts w:hint="default" w:ascii="Arial Narrow" w:hAnsi="Arial Narrow" w:eastAsia="Arial Narrow" w:cs="Arial Narrow"/>
      <w:color w:val="000000"/>
      <w:sz w:val="20"/>
      <w:szCs w:val="20"/>
      <w:u w:val="none"/>
    </w:rPr>
  </w:style>
  <w:style w:type="character" w:customStyle="1" w:styleId="77">
    <w:name w:val="fontborder"/>
    <w:basedOn w:val="33"/>
    <w:qFormat/>
    <w:uiPriority w:val="0"/>
    <w:rPr>
      <w:bdr w:val="single" w:color="000000" w:sz="6" w:space="0"/>
    </w:rPr>
  </w:style>
  <w:style w:type="character" w:customStyle="1" w:styleId="78">
    <w:name w:val="fontstrikethrough"/>
    <w:basedOn w:val="33"/>
    <w:qFormat/>
    <w:uiPriority w:val="0"/>
    <w:rPr>
      <w:strike/>
    </w:rPr>
  </w:style>
  <w:style w:type="paragraph" w:customStyle="1" w:styleId="79">
    <w:name w:val="p0"/>
    <w:basedOn w:val="1"/>
    <w:qFormat/>
    <w:uiPriority w:val="0"/>
    <w:pPr>
      <w:widowControl/>
      <w:spacing w:line="360" w:lineRule="auto"/>
      <w:ind w:firstLine="200" w:firstLineChars="200"/>
    </w:pPr>
    <w:rPr>
      <w:rFonts w:ascii="宋体" w:hAnsi="宋体" w:eastAsia="仿宋"/>
      <w:kern w:val="0"/>
      <w:sz w:val="28"/>
    </w:rPr>
  </w:style>
  <w:style w:type="character" w:customStyle="1" w:styleId="80">
    <w:name w:val="btn-task-gray1"/>
    <w:basedOn w:val="33"/>
    <w:qFormat/>
    <w:uiPriority w:val="0"/>
    <w:rPr>
      <w:color w:val="FFFFFF"/>
      <w:u w:val="none"/>
      <w:shd w:val="clear" w:color="auto" w:fill="CCCCCC"/>
    </w:rPr>
  </w:style>
  <w:style w:type="character" w:customStyle="1" w:styleId="81">
    <w:name w:val="btn-task-gray2"/>
    <w:basedOn w:val="33"/>
    <w:qFormat/>
    <w:uiPriority w:val="0"/>
  </w:style>
  <w:style w:type="character" w:customStyle="1" w:styleId="82">
    <w:name w:val="btn-auto-11"/>
    <w:basedOn w:val="33"/>
    <w:qFormat/>
    <w:uiPriority w:val="0"/>
  </w:style>
  <w:style w:type="character" w:customStyle="1" w:styleId="83">
    <w:name w:val="s1"/>
    <w:basedOn w:val="33"/>
    <w:qFormat/>
    <w:uiPriority w:val="0"/>
    <w:rPr>
      <w:color w:val="DDDDDD"/>
      <w:sz w:val="18"/>
      <w:szCs w:val="18"/>
    </w:rPr>
  </w:style>
  <w:style w:type="character" w:customStyle="1" w:styleId="84">
    <w:name w:val="font112"/>
    <w:basedOn w:val="33"/>
    <w:qFormat/>
    <w:uiPriority w:val="0"/>
    <w:rPr>
      <w:rFonts w:hint="default" w:ascii="Arial Narrow" w:hAnsi="Arial Narrow" w:eastAsia="Arial Narrow" w:cs="Arial Narrow"/>
      <w:color w:val="000000"/>
      <w:sz w:val="32"/>
      <w:szCs w:val="32"/>
      <w:u w:val="none"/>
    </w:rPr>
  </w:style>
  <w:style w:type="character" w:customStyle="1" w:styleId="85">
    <w:name w:val="font121"/>
    <w:basedOn w:val="33"/>
    <w:qFormat/>
    <w:uiPriority w:val="0"/>
    <w:rPr>
      <w:rFonts w:hint="default" w:ascii="Arial Narrow" w:hAnsi="Arial Narrow" w:eastAsia="Arial Narrow" w:cs="Arial Narrow"/>
      <w:color w:val="000000"/>
      <w:sz w:val="32"/>
      <w:szCs w:val="32"/>
      <w:u w:val="none"/>
    </w:rPr>
  </w:style>
  <w:style w:type="character" w:customStyle="1" w:styleId="86">
    <w:name w:val="font111"/>
    <w:basedOn w:val="33"/>
    <w:qFormat/>
    <w:uiPriority w:val="0"/>
    <w:rPr>
      <w:rFonts w:hint="default" w:ascii="Arial Narrow" w:hAnsi="Arial Narrow" w:eastAsia="Arial Narrow" w:cs="Arial Narrow"/>
      <w:color w:val="000000"/>
      <w:sz w:val="32"/>
      <w:szCs w:val="32"/>
      <w:u w:val="none"/>
    </w:rPr>
  </w:style>
  <w:style w:type="character" w:customStyle="1" w:styleId="87">
    <w:name w:val="font101"/>
    <w:basedOn w:val="33"/>
    <w:qFormat/>
    <w:uiPriority w:val="0"/>
    <w:rPr>
      <w:rFonts w:hint="default" w:ascii="Times New Roman" w:hAnsi="Times New Roman" w:cs="Times New Roman"/>
      <w:color w:val="000000"/>
      <w:sz w:val="22"/>
      <w:szCs w:val="22"/>
      <w:u w:val="none"/>
    </w:rPr>
  </w:style>
  <w:style w:type="character" w:customStyle="1" w:styleId="88">
    <w:name w:val="font71"/>
    <w:basedOn w:val="33"/>
    <w:qFormat/>
    <w:uiPriority w:val="0"/>
    <w:rPr>
      <w:rFonts w:hint="default" w:ascii="Arial" w:hAnsi="Arial" w:cs="Arial"/>
      <w:color w:val="000000"/>
      <w:sz w:val="18"/>
      <w:szCs w:val="18"/>
      <w:u w:val="none"/>
    </w:rPr>
  </w:style>
  <w:style w:type="paragraph" w:customStyle="1" w:styleId="89">
    <w:name w:val="WPSOffice手动目录 1"/>
    <w:qFormat/>
    <w:uiPriority w:val="0"/>
    <w:rPr>
      <w:rFonts w:ascii="Times New Roman" w:hAnsi="Times New Roman" w:eastAsia="宋体" w:cs="Times New Roman"/>
      <w:lang w:val="en-US" w:eastAsia="zh-CN" w:bidi="ar-SA"/>
    </w:rPr>
  </w:style>
  <w:style w:type="paragraph" w:customStyle="1" w:styleId="9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91">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92">
    <w:name w:val="font131"/>
    <w:basedOn w:val="33"/>
    <w:qFormat/>
    <w:uiPriority w:val="0"/>
    <w:rPr>
      <w:rFonts w:hint="eastAsia" w:ascii="黑体" w:hAnsi="宋体" w:eastAsia="黑体" w:cs="黑体"/>
      <w:color w:val="000000"/>
      <w:sz w:val="22"/>
      <w:szCs w:val="22"/>
      <w:u w:val="none"/>
    </w:rPr>
  </w:style>
  <w:style w:type="paragraph" w:customStyle="1" w:styleId="93">
    <w:name w:val="TOC 标题1"/>
    <w:basedOn w:val="4"/>
    <w:next w:val="1"/>
    <w:unhideWhenUsed/>
    <w:qFormat/>
    <w:uiPriority w:val="39"/>
    <w:pPr>
      <w:keepNext/>
      <w:keepLines/>
      <w:widowControl/>
      <w:tabs>
        <w:tab w:val="clear" w:pos="0"/>
        <w:tab w:val="clear" w:pos="3285"/>
      </w:tabs>
      <w:spacing w:before="240" w:after="0" w:line="259" w:lineRule="auto"/>
      <w:jc w:val="left"/>
      <w:outlineLvl w:val="9"/>
    </w:pPr>
    <w:rPr>
      <w:rFonts w:asciiTheme="majorHAnsi" w:hAnsiTheme="majorHAnsi" w:eastAsiaTheme="majorEastAsia" w:cstheme="majorBidi"/>
      <w:b w:val="0"/>
      <w:color w:val="2E75B6" w:themeColor="accent1" w:themeShade="BF"/>
      <w:kern w:val="0"/>
      <w:szCs w:val="32"/>
    </w:rPr>
  </w:style>
  <w:style w:type="paragraph" w:customStyle="1" w:styleId="94">
    <w:name w:val="msonormal"/>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5">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96">
    <w:name w:val="xl75"/>
    <w:basedOn w:val="1"/>
    <w:qFormat/>
    <w:uiPriority w:val="0"/>
    <w:pPr>
      <w:widowControl/>
      <w:spacing w:before="100" w:beforeAutospacing="1" w:after="100" w:afterAutospacing="1"/>
      <w:jc w:val="left"/>
    </w:pPr>
    <w:rPr>
      <w:rFonts w:ascii="仿宋" w:hAnsi="仿宋" w:eastAsia="仿宋" w:cs="宋体"/>
      <w:kern w:val="0"/>
      <w:sz w:val="20"/>
      <w:szCs w:val="20"/>
    </w:rPr>
  </w:style>
  <w:style w:type="paragraph" w:customStyle="1" w:styleId="9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9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仿宋" w:hAnsi="仿宋" w:eastAsia="仿宋" w:cs="宋体"/>
      <w:color w:val="000000"/>
      <w:kern w:val="0"/>
      <w:sz w:val="20"/>
      <w:szCs w:val="20"/>
    </w:rPr>
  </w:style>
  <w:style w:type="paragraph" w:customStyle="1" w:styleId="9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100">
    <w:name w:val="xl79"/>
    <w:basedOn w:val="1"/>
    <w:qFormat/>
    <w:uiPriority w:val="0"/>
    <w:pPr>
      <w:widowControl/>
      <w:spacing w:before="100" w:beforeAutospacing="1" w:after="100" w:afterAutospacing="1"/>
      <w:jc w:val="left"/>
    </w:pPr>
    <w:rPr>
      <w:rFonts w:ascii="仿宋" w:hAnsi="仿宋" w:eastAsia="仿宋" w:cs="宋体"/>
      <w:kern w:val="0"/>
      <w:sz w:val="20"/>
      <w:szCs w:val="20"/>
    </w:rPr>
  </w:style>
  <w:style w:type="paragraph" w:customStyle="1" w:styleId="101">
    <w:name w:val="xl80"/>
    <w:basedOn w:val="1"/>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200" w:firstLineChars="200"/>
      <w:jc w:val="left"/>
    </w:pPr>
    <w:rPr>
      <w:rFonts w:ascii="仿宋" w:hAnsi="仿宋" w:eastAsia="仿宋" w:cs="宋体"/>
      <w:color w:val="000000"/>
      <w:kern w:val="0"/>
      <w:sz w:val="20"/>
      <w:szCs w:val="20"/>
    </w:rPr>
  </w:style>
  <w:style w:type="paragraph" w:customStyle="1" w:styleId="10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10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b/>
      <w:bCs/>
      <w:color w:val="000000"/>
      <w:kern w:val="0"/>
      <w:sz w:val="20"/>
      <w:szCs w:val="20"/>
    </w:rPr>
  </w:style>
  <w:style w:type="paragraph" w:customStyle="1" w:styleId="104">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105">
    <w:name w:val="xl84"/>
    <w:basedOn w:val="1"/>
    <w:qFormat/>
    <w:uiPriority w:val="0"/>
    <w:pPr>
      <w:widowControl/>
      <w:spacing w:before="100" w:beforeAutospacing="1" w:after="100" w:afterAutospacing="1"/>
      <w:jc w:val="center"/>
    </w:pPr>
    <w:rPr>
      <w:rFonts w:ascii="仿宋" w:hAnsi="仿宋" w:eastAsia="仿宋" w:cs="宋体"/>
      <w:kern w:val="0"/>
      <w:sz w:val="20"/>
      <w:szCs w:val="20"/>
    </w:rPr>
  </w:style>
  <w:style w:type="paragraph" w:customStyle="1" w:styleId="106">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107">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color w:val="000000"/>
      <w:kern w:val="0"/>
      <w:sz w:val="20"/>
      <w:szCs w:val="20"/>
    </w:rPr>
  </w:style>
  <w:style w:type="paragraph" w:customStyle="1" w:styleId="108">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color w:val="000000"/>
      <w:kern w:val="0"/>
      <w:sz w:val="20"/>
      <w:szCs w:val="20"/>
    </w:rPr>
  </w:style>
  <w:style w:type="paragraph" w:customStyle="1" w:styleId="109">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仿宋" w:hAnsi="仿宋" w:eastAsia="仿宋" w:cs="宋体"/>
      <w:kern w:val="0"/>
      <w:sz w:val="20"/>
      <w:szCs w:val="20"/>
    </w:rPr>
  </w:style>
  <w:style w:type="paragraph" w:customStyle="1" w:styleId="11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仿宋" w:hAnsi="仿宋" w:eastAsia="仿宋" w:cs="宋体"/>
      <w:color w:val="000000"/>
      <w:kern w:val="0"/>
      <w:sz w:val="20"/>
      <w:szCs w:val="20"/>
    </w:rPr>
  </w:style>
  <w:style w:type="paragraph" w:customStyle="1" w:styleId="111">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right"/>
    </w:pPr>
    <w:rPr>
      <w:rFonts w:ascii="仿宋" w:hAnsi="仿宋" w:eastAsia="仿宋" w:cs="宋体"/>
      <w:color w:val="000000"/>
      <w:kern w:val="0"/>
      <w:sz w:val="20"/>
      <w:szCs w:val="20"/>
    </w:rPr>
  </w:style>
  <w:style w:type="paragraph" w:customStyle="1" w:styleId="112">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 w:hAnsi="仿宋" w:eastAsia="仿宋" w:cs="宋体"/>
      <w:color w:val="000000"/>
      <w:kern w:val="0"/>
      <w:sz w:val="20"/>
      <w:szCs w:val="20"/>
    </w:rPr>
  </w:style>
  <w:style w:type="paragraph" w:customStyle="1" w:styleId="113">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pPr>
    <w:rPr>
      <w:rFonts w:ascii="仿宋" w:hAnsi="仿宋" w:eastAsia="仿宋" w:cs="宋体"/>
      <w:color w:val="000000"/>
      <w:kern w:val="0"/>
      <w:sz w:val="20"/>
      <w:szCs w:val="20"/>
    </w:rPr>
  </w:style>
  <w:style w:type="paragraph" w:customStyle="1" w:styleId="114">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 w:hAnsi="仿宋" w:eastAsia="仿宋" w:cs="宋体"/>
      <w:color w:val="000000"/>
      <w:kern w:val="0"/>
      <w:sz w:val="20"/>
      <w:szCs w:val="20"/>
    </w:rPr>
  </w:style>
  <w:style w:type="paragraph" w:customStyle="1" w:styleId="115">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right"/>
    </w:pPr>
    <w:rPr>
      <w:rFonts w:ascii="仿宋" w:hAnsi="仿宋" w:eastAsia="仿宋" w:cs="宋体"/>
      <w:color w:val="000000"/>
      <w:kern w:val="0"/>
      <w:sz w:val="20"/>
      <w:szCs w:val="20"/>
    </w:rPr>
  </w:style>
  <w:style w:type="paragraph" w:customStyle="1" w:styleId="116">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仿宋" w:hAnsi="仿宋" w:eastAsia="仿宋" w:cs="宋体"/>
      <w:color w:val="000000"/>
      <w:kern w:val="0"/>
      <w:sz w:val="20"/>
      <w:szCs w:val="20"/>
    </w:rPr>
  </w:style>
  <w:style w:type="paragraph" w:customStyle="1" w:styleId="117">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right"/>
    </w:pPr>
    <w:rPr>
      <w:rFonts w:ascii="仿宋" w:hAnsi="仿宋" w:eastAsia="仿宋" w:cs="宋体"/>
      <w:color w:val="000000"/>
      <w:kern w:val="0"/>
      <w:sz w:val="20"/>
      <w:szCs w:val="20"/>
    </w:rPr>
  </w:style>
  <w:style w:type="paragraph" w:customStyle="1" w:styleId="118">
    <w:name w:val="xl97"/>
    <w:basedOn w:val="1"/>
    <w:qFormat/>
    <w:uiPriority w:val="0"/>
    <w:pPr>
      <w:widowControl/>
      <w:pBdr>
        <w:top w:val="single" w:color="auto" w:sz="4" w:space="0"/>
        <w:left w:val="single" w:color="auto" w:sz="4" w:space="0"/>
        <w:bottom w:val="single" w:color="auto" w:sz="4" w:space="0"/>
        <w:right w:val="single" w:color="auto" w:sz="4" w:space="0"/>
      </w:pBdr>
      <w:shd w:val="clear" w:color="000000" w:fill="FFF2CC"/>
      <w:spacing w:before="100" w:beforeAutospacing="1" w:after="100" w:afterAutospacing="1"/>
      <w:jc w:val="center"/>
    </w:pPr>
    <w:rPr>
      <w:rFonts w:ascii="仿宋" w:hAnsi="仿宋" w:eastAsia="仿宋" w:cs="宋体"/>
      <w:color w:val="000000"/>
      <w:kern w:val="0"/>
      <w:sz w:val="20"/>
      <w:szCs w:val="20"/>
    </w:rPr>
  </w:style>
  <w:style w:type="paragraph" w:customStyle="1" w:styleId="119">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2CC"/>
      <w:spacing w:before="100" w:beforeAutospacing="1" w:after="100" w:afterAutospacing="1"/>
      <w:jc w:val="right"/>
    </w:pPr>
    <w:rPr>
      <w:rFonts w:ascii="仿宋" w:hAnsi="仿宋" w:eastAsia="仿宋" w:cs="宋体"/>
      <w:color w:val="000000"/>
      <w:kern w:val="0"/>
      <w:sz w:val="20"/>
      <w:szCs w:val="20"/>
    </w:rPr>
  </w:style>
  <w:style w:type="paragraph" w:customStyle="1" w:styleId="120">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FFF2CC"/>
      <w:spacing w:before="100" w:beforeAutospacing="1" w:after="100" w:afterAutospacing="1"/>
      <w:jc w:val="center"/>
    </w:pPr>
    <w:rPr>
      <w:rFonts w:ascii="仿宋" w:hAnsi="仿宋" w:eastAsia="仿宋" w:cs="宋体"/>
      <w:b/>
      <w:bCs/>
      <w:color w:val="000000"/>
      <w:kern w:val="0"/>
      <w:sz w:val="20"/>
      <w:szCs w:val="20"/>
    </w:rPr>
  </w:style>
  <w:style w:type="paragraph" w:customStyle="1" w:styleId="121">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仿宋" w:hAnsi="仿宋" w:eastAsia="仿宋" w:cs="宋体"/>
      <w:color w:val="000000"/>
      <w:kern w:val="0"/>
      <w:sz w:val="20"/>
      <w:szCs w:val="20"/>
    </w:rPr>
  </w:style>
  <w:style w:type="paragraph" w:customStyle="1" w:styleId="122">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right"/>
    </w:pPr>
    <w:rPr>
      <w:rFonts w:ascii="仿宋" w:hAnsi="仿宋" w:eastAsia="仿宋" w:cs="宋体"/>
      <w:color w:val="000000"/>
      <w:kern w:val="0"/>
      <w:sz w:val="20"/>
      <w:szCs w:val="20"/>
    </w:rPr>
  </w:style>
  <w:style w:type="paragraph" w:customStyle="1" w:styleId="123">
    <w:name w:val="xl102"/>
    <w:basedOn w:val="1"/>
    <w:qFormat/>
    <w:uiPriority w:val="0"/>
    <w:pPr>
      <w:widowControl/>
      <w:pBdr>
        <w:top w:val="single" w:color="auto" w:sz="4" w:space="0"/>
        <w:left w:val="single" w:color="auto" w:sz="4" w:space="31"/>
        <w:bottom w:val="single" w:color="auto" w:sz="4" w:space="0"/>
        <w:right w:val="single" w:color="auto" w:sz="4" w:space="0"/>
      </w:pBdr>
      <w:shd w:val="clear" w:color="000000" w:fill="D9E1F2"/>
      <w:spacing w:before="100" w:beforeAutospacing="1" w:after="100" w:afterAutospacing="1"/>
      <w:ind w:firstLine="200" w:firstLineChars="200"/>
      <w:jc w:val="left"/>
    </w:pPr>
    <w:rPr>
      <w:rFonts w:ascii="仿宋" w:hAnsi="仿宋" w:eastAsia="仿宋" w:cs="宋体"/>
      <w:color w:val="000000"/>
      <w:kern w:val="0"/>
      <w:sz w:val="20"/>
      <w:szCs w:val="20"/>
    </w:rPr>
  </w:style>
  <w:style w:type="paragraph" w:customStyle="1" w:styleId="124">
    <w:name w:val="font0"/>
    <w:basedOn w:val="1"/>
    <w:qFormat/>
    <w:uiPriority w:val="0"/>
    <w:pPr>
      <w:widowControl/>
      <w:spacing w:before="100" w:beforeAutospacing="1" w:after="100" w:afterAutospacing="1"/>
      <w:jc w:val="left"/>
    </w:pPr>
    <w:rPr>
      <w:rFonts w:ascii="仿宋" w:hAnsi="仿宋" w:eastAsia="仿宋" w:cs="宋体"/>
      <w:b/>
      <w:bCs/>
      <w:color w:val="000000"/>
      <w:kern w:val="0"/>
      <w:sz w:val="20"/>
      <w:szCs w:val="20"/>
    </w:rPr>
  </w:style>
  <w:style w:type="paragraph" w:customStyle="1" w:styleId="125">
    <w:name w:val="font1"/>
    <w:basedOn w:val="1"/>
    <w:qFormat/>
    <w:uiPriority w:val="0"/>
    <w:pPr>
      <w:widowControl/>
      <w:spacing w:before="100" w:beforeAutospacing="1" w:after="100" w:afterAutospacing="1"/>
      <w:jc w:val="left"/>
    </w:pPr>
    <w:rPr>
      <w:rFonts w:ascii="宋体" w:hAnsi="宋体" w:eastAsia="宋体" w:cs="宋体"/>
      <w:color w:val="000000"/>
      <w:kern w:val="0"/>
      <w:sz w:val="22"/>
      <w:szCs w:val="22"/>
    </w:rPr>
  </w:style>
  <w:style w:type="paragraph" w:customStyle="1" w:styleId="126">
    <w:name w:val="font2"/>
    <w:basedOn w:val="1"/>
    <w:qFormat/>
    <w:uiPriority w:val="0"/>
    <w:pPr>
      <w:widowControl/>
      <w:spacing w:before="100" w:beforeAutospacing="1" w:after="100" w:afterAutospacing="1"/>
      <w:jc w:val="left"/>
    </w:pPr>
    <w:rPr>
      <w:rFonts w:ascii="仿宋" w:hAnsi="仿宋" w:eastAsia="仿宋" w:cs="宋体"/>
      <w:b/>
      <w:bCs/>
      <w:color w:val="000000"/>
      <w:kern w:val="0"/>
      <w:sz w:val="20"/>
      <w:szCs w:val="20"/>
    </w:rPr>
  </w:style>
  <w:style w:type="paragraph" w:customStyle="1" w:styleId="127">
    <w:name w:val="font3"/>
    <w:basedOn w:val="1"/>
    <w:qFormat/>
    <w:uiPriority w:val="0"/>
    <w:pPr>
      <w:widowControl/>
      <w:spacing w:before="100" w:beforeAutospacing="1" w:after="100" w:afterAutospacing="1"/>
      <w:jc w:val="left"/>
    </w:pPr>
    <w:rPr>
      <w:rFonts w:ascii="仿宋" w:hAnsi="仿宋" w:eastAsia="仿宋" w:cs="宋体"/>
      <w:color w:val="000000"/>
      <w:kern w:val="0"/>
      <w:sz w:val="20"/>
      <w:szCs w:val="20"/>
    </w:rPr>
  </w:style>
  <w:style w:type="paragraph" w:customStyle="1" w:styleId="128">
    <w:name w:val="font4"/>
    <w:basedOn w:val="1"/>
    <w:qFormat/>
    <w:uiPriority w:val="0"/>
    <w:pPr>
      <w:widowControl/>
      <w:spacing w:before="100" w:beforeAutospacing="1" w:after="100" w:afterAutospacing="1"/>
      <w:jc w:val="left"/>
    </w:pPr>
    <w:rPr>
      <w:rFonts w:ascii="仿宋" w:hAnsi="仿宋" w:eastAsia="仿宋" w:cs="宋体"/>
      <w:color w:val="000000"/>
      <w:kern w:val="0"/>
      <w:sz w:val="20"/>
      <w:szCs w:val="20"/>
    </w:rPr>
  </w:style>
  <w:style w:type="paragraph" w:customStyle="1" w:styleId="129">
    <w:name w:val="et2"/>
    <w:basedOn w:val="1"/>
    <w:qFormat/>
    <w:uiPriority w:val="0"/>
    <w:pPr>
      <w:widowControl/>
      <w:spacing w:before="100" w:beforeAutospacing="1" w:after="100" w:afterAutospacing="1"/>
      <w:jc w:val="center"/>
    </w:pPr>
    <w:rPr>
      <w:rFonts w:ascii="仿宋" w:hAnsi="仿宋" w:eastAsia="仿宋" w:cs="宋体"/>
      <w:kern w:val="0"/>
      <w:sz w:val="20"/>
      <w:szCs w:val="20"/>
    </w:rPr>
  </w:style>
  <w:style w:type="paragraph" w:customStyle="1" w:styleId="130">
    <w:name w:val="et3"/>
    <w:basedOn w:val="1"/>
    <w:qFormat/>
    <w:uiPriority w:val="0"/>
    <w:pPr>
      <w:widowControl/>
      <w:spacing w:before="100" w:beforeAutospacing="1" w:after="100" w:afterAutospacing="1"/>
      <w:jc w:val="left"/>
    </w:pPr>
    <w:rPr>
      <w:rFonts w:ascii="仿宋" w:hAnsi="仿宋" w:eastAsia="仿宋" w:cs="宋体"/>
      <w:kern w:val="0"/>
      <w:sz w:val="20"/>
      <w:szCs w:val="20"/>
    </w:rPr>
  </w:style>
  <w:style w:type="paragraph" w:customStyle="1" w:styleId="131">
    <w:name w:val="et4"/>
    <w:basedOn w:val="1"/>
    <w:qFormat/>
    <w:uiPriority w:val="0"/>
    <w:pPr>
      <w:widowControl/>
      <w:spacing w:before="100" w:beforeAutospacing="1" w:after="100" w:afterAutospacing="1"/>
      <w:jc w:val="left"/>
    </w:pPr>
    <w:rPr>
      <w:rFonts w:ascii="仿宋" w:hAnsi="仿宋" w:eastAsia="仿宋" w:cs="宋体"/>
      <w:kern w:val="0"/>
      <w:sz w:val="20"/>
      <w:szCs w:val="20"/>
    </w:rPr>
  </w:style>
  <w:style w:type="paragraph" w:customStyle="1" w:styleId="132">
    <w:name w:val="et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 w:hAnsi="仿宋" w:eastAsia="仿宋" w:cs="宋体"/>
      <w:b/>
      <w:bCs/>
      <w:color w:val="000000"/>
      <w:kern w:val="0"/>
      <w:sz w:val="20"/>
      <w:szCs w:val="20"/>
    </w:rPr>
  </w:style>
  <w:style w:type="paragraph" w:customStyle="1" w:styleId="133">
    <w:name w:val="et6"/>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center"/>
    </w:pPr>
    <w:rPr>
      <w:rFonts w:ascii="仿宋" w:hAnsi="仿宋" w:eastAsia="仿宋" w:cs="宋体"/>
      <w:color w:val="000000"/>
      <w:kern w:val="0"/>
      <w:sz w:val="20"/>
      <w:szCs w:val="20"/>
    </w:rPr>
  </w:style>
  <w:style w:type="paragraph" w:customStyle="1" w:styleId="134">
    <w:name w:val="et7"/>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right"/>
    </w:pPr>
    <w:rPr>
      <w:rFonts w:ascii="仿宋" w:hAnsi="仿宋" w:eastAsia="仿宋" w:cs="宋体"/>
      <w:color w:val="000000"/>
      <w:kern w:val="0"/>
      <w:sz w:val="20"/>
      <w:szCs w:val="20"/>
    </w:rPr>
  </w:style>
  <w:style w:type="paragraph" w:customStyle="1" w:styleId="135">
    <w:name w:val="et8"/>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2CC"/>
      <w:spacing w:before="100" w:beforeAutospacing="1" w:after="100" w:afterAutospacing="1"/>
      <w:jc w:val="center"/>
    </w:pPr>
    <w:rPr>
      <w:rFonts w:ascii="仿宋" w:hAnsi="仿宋" w:eastAsia="仿宋" w:cs="宋体"/>
      <w:color w:val="000000"/>
      <w:kern w:val="0"/>
      <w:sz w:val="20"/>
      <w:szCs w:val="20"/>
    </w:rPr>
  </w:style>
  <w:style w:type="paragraph" w:customStyle="1" w:styleId="136">
    <w:name w:val="et9"/>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2CC"/>
      <w:spacing w:before="100" w:beforeAutospacing="1" w:after="100" w:afterAutospacing="1"/>
      <w:jc w:val="right"/>
    </w:pPr>
    <w:rPr>
      <w:rFonts w:ascii="仿宋" w:hAnsi="仿宋" w:eastAsia="仿宋" w:cs="宋体"/>
      <w:color w:val="000000"/>
      <w:kern w:val="0"/>
      <w:sz w:val="20"/>
      <w:szCs w:val="20"/>
    </w:rPr>
  </w:style>
  <w:style w:type="paragraph" w:customStyle="1" w:styleId="137">
    <w:name w:val="et10"/>
    <w:basedOn w:val="1"/>
    <w:qFormat/>
    <w:uiPriority w:val="0"/>
    <w:pPr>
      <w:widowControl/>
      <w:pBdr>
        <w:top w:val="single" w:color="000000" w:sz="4" w:space="0"/>
        <w:left w:val="single" w:color="000000" w:sz="4" w:space="0"/>
        <w:bottom w:val="single" w:color="000000" w:sz="4" w:space="0"/>
        <w:right w:val="single" w:color="000000" w:sz="4" w:space="0"/>
      </w:pBdr>
      <w:shd w:val="clear" w:color="auto" w:fill="D9E1F2"/>
      <w:spacing w:before="100" w:beforeAutospacing="1" w:after="100" w:afterAutospacing="1"/>
      <w:jc w:val="center"/>
    </w:pPr>
    <w:rPr>
      <w:rFonts w:ascii="仿宋" w:hAnsi="仿宋" w:eastAsia="仿宋" w:cs="宋体"/>
      <w:color w:val="000000"/>
      <w:kern w:val="0"/>
      <w:sz w:val="20"/>
      <w:szCs w:val="20"/>
    </w:rPr>
  </w:style>
  <w:style w:type="paragraph" w:customStyle="1" w:styleId="138">
    <w:name w:val="et11"/>
    <w:basedOn w:val="1"/>
    <w:qFormat/>
    <w:uiPriority w:val="0"/>
    <w:pPr>
      <w:widowControl/>
      <w:pBdr>
        <w:top w:val="single" w:color="000000" w:sz="4" w:space="0"/>
        <w:left w:val="single" w:color="000000" w:sz="4" w:space="0"/>
        <w:bottom w:val="single" w:color="000000" w:sz="4" w:space="0"/>
        <w:right w:val="single" w:color="000000" w:sz="4" w:space="0"/>
      </w:pBdr>
      <w:shd w:val="clear" w:color="auto" w:fill="D9E1F2"/>
      <w:spacing w:before="100" w:beforeAutospacing="1" w:after="100" w:afterAutospacing="1"/>
      <w:jc w:val="right"/>
    </w:pPr>
    <w:rPr>
      <w:rFonts w:ascii="仿宋" w:hAnsi="仿宋" w:eastAsia="仿宋" w:cs="宋体"/>
      <w:color w:val="000000"/>
      <w:kern w:val="0"/>
      <w:sz w:val="20"/>
      <w:szCs w:val="20"/>
    </w:rPr>
  </w:style>
  <w:style w:type="paragraph" w:customStyle="1" w:styleId="139">
    <w:name w:val="et1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140">
    <w:name w:val="et1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仿宋" w:hAnsi="仿宋" w:eastAsia="仿宋" w:cs="宋体"/>
      <w:color w:val="000000"/>
      <w:kern w:val="0"/>
      <w:sz w:val="20"/>
      <w:szCs w:val="20"/>
    </w:rPr>
  </w:style>
  <w:style w:type="paragraph" w:customStyle="1" w:styleId="141">
    <w:name w:val="et1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 w:hAnsi="仿宋" w:eastAsia="仿宋" w:cs="宋体"/>
      <w:color w:val="000000"/>
      <w:kern w:val="0"/>
      <w:sz w:val="20"/>
      <w:szCs w:val="20"/>
    </w:rPr>
  </w:style>
  <w:style w:type="paragraph" w:customStyle="1" w:styleId="142">
    <w:name w:val="et15"/>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143">
    <w:name w:val="et1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仿宋" w:hAnsi="仿宋" w:eastAsia="仿宋" w:cs="宋体"/>
      <w:color w:val="000000"/>
      <w:kern w:val="0"/>
      <w:sz w:val="20"/>
      <w:szCs w:val="20"/>
    </w:rPr>
  </w:style>
  <w:style w:type="paragraph" w:customStyle="1" w:styleId="144">
    <w:name w:val="et17"/>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2CC"/>
      <w:spacing w:before="100" w:beforeAutospacing="1" w:after="100" w:afterAutospacing="1"/>
      <w:jc w:val="center"/>
    </w:pPr>
    <w:rPr>
      <w:rFonts w:ascii="仿宋" w:hAnsi="仿宋" w:eastAsia="仿宋" w:cs="宋体"/>
      <w:b/>
      <w:bCs/>
      <w:color w:val="000000"/>
      <w:kern w:val="0"/>
      <w:sz w:val="20"/>
      <w:szCs w:val="20"/>
    </w:rPr>
  </w:style>
  <w:style w:type="paragraph" w:customStyle="1" w:styleId="145">
    <w:name w:val="et18"/>
    <w:basedOn w:val="1"/>
    <w:qFormat/>
    <w:uiPriority w:val="0"/>
    <w:pPr>
      <w:widowControl/>
      <w:pBdr>
        <w:top w:val="single" w:color="000000" w:sz="4" w:space="0"/>
        <w:left w:val="single" w:color="000000" w:sz="4" w:space="0"/>
        <w:bottom w:val="single" w:color="000000" w:sz="4" w:space="0"/>
        <w:right w:val="single" w:color="000000" w:sz="4" w:space="0"/>
      </w:pBdr>
      <w:shd w:val="clear" w:color="auto" w:fill="D9E1F2"/>
      <w:spacing w:before="100" w:beforeAutospacing="1" w:after="100" w:afterAutospacing="1"/>
      <w:jc w:val="center"/>
    </w:pPr>
    <w:rPr>
      <w:rFonts w:ascii="仿宋" w:hAnsi="仿宋" w:eastAsia="仿宋" w:cs="宋体"/>
      <w:color w:val="000000"/>
      <w:kern w:val="0"/>
      <w:sz w:val="20"/>
      <w:szCs w:val="20"/>
    </w:rPr>
  </w:style>
  <w:style w:type="paragraph" w:customStyle="1" w:styleId="146">
    <w:name w:val="et19"/>
    <w:basedOn w:val="1"/>
    <w:qFormat/>
    <w:uiPriority w:val="0"/>
    <w:pPr>
      <w:widowControl/>
      <w:pBdr>
        <w:top w:val="single" w:color="000000" w:sz="4" w:space="0"/>
        <w:left w:val="single" w:color="000000" w:sz="4" w:space="0"/>
        <w:bottom w:val="single" w:color="000000" w:sz="4" w:space="0"/>
        <w:right w:val="single" w:color="000000" w:sz="4" w:space="0"/>
      </w:pBdr>
      <w:shd w:val="clear" w:color="auto" w:fill="D9E1F2"/>
      <w:spacing w:before="100" w:beforeAutospacing="1" w:after="100" w:afterAutospacing="1"/>
      <w:jc w:val="right"/>
    </w:pPr>
    <w:rPr>
      <w:rFonts w:ascii="仿宋" w:hAnsi="仿宋" w:eastAsia="仿宋" w:cs="宋体"/>
      <w:color w:val="000000"/>
      <w:kern w:val="0"/>
      <w:sz w:val="20"/>
      <w:szCs w:val="20"/>
    </w:rPr>
  </w:style>
  <w:style w:type="paragraph" w:customStyle="1" w:styleId="147">
    <w:name w:val="et2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148">
    <w:name w:val="et2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仿宋" w:hAnsi="仿宋" w:eastAsia="仿宋" w:cs="宋体"/>
      <w:color w:val="000000"/>
      <w:kern w:val="0"/>
      <w:sz w:val="20"/>
      <w:szCs w:val="20"/>
    </w:rPr>
  </w:style>
  <w:style w:type="paragraph" w:customStyle="1" w:styleId="149">
    <w:name w:val="et2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ind w:firstLine="200" w:firstLineChars="200"/>
      <w:jc w:val="left"/>
    </w:pPr>
    <w:rPr>
      <w:rFonts w:ascii="仿宋" w:hAnsi="仿宋" w:eastAsia="仿宋" w:cs="宋体"/>
      <w:color w:val="000000"/>
      <w:kern w:val="0"/>
      <w:sz w:val="20"/>
      <w:szCs w:val="20"/>
    </w:rPr>
  </w:style>
  <w:style w:type="paragraph" w:customStyle="1" w:styleId="150">
    <w:name w:val="et23"/>
    <w:basedOn w:val="1"/>
    <w:qFormat/>
    <w:uiPriority w:val="0"/>
    <w:pPr>
      <w:widowControl/>
      <w:pBdr>
        <w:top w:val="single" w:color="000000" w:sz="4" w:space="0"/>
        <w:left w:val="single" w:color="000000" w:sz="4" w:space="0"/>
        <w:bottom w:val="single" w:color="000000" w:sz="4" w:space="0"/>
        <w:right w:val="single" w:color="000000" w:sz="4" w:space="0"/>
      </w:pBdr>
      <w:shd w:val="clear" w:color="auto" w:fill="D9E1F2"/>
      <w:spacing w:before="100" w:beforeAutospacing="1" w:after="100" w:afterAutospacing="1"/>
      <w:ind w:firstLine="200" w:firstLineChars="200"/>
      <w:jc w:val="left"/>
    </w:pPr>
    <w:rPr>
      <w:rFonts w:ascii="仿宋" w:hAnsi="仿宋" w:eastAsia="仿宋" w:cs="宋体"/>
      <w:color w:val="000000"/>
      <w:kern w:val="0"/>
      <w:sz w:val="20"/>
      <w:szCs w:val="20"/>
    </w:rPr>
  </w:style>
  <w:style w:type="paragraph" w:customStyle="1" w:styleId="151">
    <w:name w:val="et24"/>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center"/>
    </w:pPr>
    <w:rPr>
      <w:rFonts w:ascii="仿宋" w:hAnsi="仿宋" w:eastAsia="仿宋" w:cs="宋体"/>
      <w:b/>
      <w:bCs/>
      <w:color w:val="000000"/>
      <w:kern w:val="0"/>
      <w:sz w:val="20"/>
      <w:szCs w:val="20"/>
    </w:rPr>
  </w:style>
  <w:style w:type="paragraph" w:customStyle="1" w:styleId="152">
    <w:name w:val="et25"/>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left"/>
    </w:pPr>
    <w:rPr>
      <w:rFonts w:ascii="仿宋" w:hAnsi="仿宋" w:eastAsia="仿宋" w:cs="宋体"/>
      <w:b/>
      <w:bCs/>
      <w:kern w:val="0"/>
      <w:sz w:val="20"/>
      <w:szCs w:val="20"/>
    </w:rPr>
  </w:style>
  <w:style w:type="paragraph" w:customStyle="1" w:styleId="153">
    <w:name w:val="et26"/>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right"/>
    </w:pPr>
    <w:rPr>
      <w:rFonts w:ascii="仿宋" w:hAnsi="仿宋" w:eastAsia="仿宋" w:cs="宋体"/>
      <w:b/>
      <w:bCs/>
      <w:color w:val="000000"/>
      <w:kern w:val="0"/>
      <w:sz w:val="20"/>
      <w:szCs w:val="20"/>
    </w:rPr>
  </w:style>
  <w:style w:type="paragraph" w:customStyle="1" w:styleId="154">
    <w:name w:val="et27"/>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00"/>
      <w:spacing w:before="100" w:beforeAutospacing="1" w:after="100" w:afterAutospacing="1"/>
      <w:jc w:val="left"/>
    </w:pPr>
    <w:rPr>
      <w:rFonts w:ascii="仿宋" w:hAnsi="仿宋" w:eastAsia="仿宋" w:cs="宋体"/>
      <w:b/>
      <w:bCs/>
      <w:color w:val="000000"/>
      <w:kern w:val="0"/>
      <w:sz w:val="20"/>
      <w:szCs w:val="20"/>
    </w:rPr>
  </w:style>
  <w:style w:type="paragraph" w:customStyle="1" w:styleId="155">
    <w:name w:val="et2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 w:hAnsi="仿宋" w:eastAsia="仿宋" w:cs="宋体"/>
      <w:kern w:val="0"/>
      <w:sz w:val="20"/>
      <w:szCs w:val="20"/>
    </w:rPr>
  </w:style>
  <w:style w:type="paragraph" w:customStyle="1" w:styleId="156">
    <w:name w:val="et2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157">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仿宋" w:hAnsi="仿宋" w:eastAsia="仿宋" w:cs="宋体"/>
      <w:b/>
      <w:bCs/>
      <w:color w:val="000000"/>
      <w:kern w:val="0"/>
      <w:sz w:val="20"/>
      <w:szCs w:val="20"/>
    </w:rPr>
  </w:style>
  <w:style w:type="paragraph" w:customStyle="1" w:styleId="158">
    <w:name w:val="xl10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仿宋" w:hAnsi="仿宋" w:eastAsia="仿宋" w:cs="宋体"/>
      <w:b/>
      <w:bCs/>
      <w:color w:val="000000"/>
      <w:kern w:val="0"/>
      <w:sz w:val="20"/>
      <w:szCs w:val="20"/>
    </w:rPr>
  </w:style>
  <w:style w:type="paragraph" w:customStyle="1" w:styleId="159">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仿宋" w:hAnsi="仿宋" w:eastAsia="仿宋" w:cs="宋体"/>
      <w:b/>
      <w:bCs/>
      <w:color w:val="000000"/>
      <w:kern w:val="0"/>
      <w:sz w:val="20"/>
      <w:szCs w:val="20"/>
    </w:rPr>
  </w:style>
  <w:style w:type="paragraph" w:customStyle="1" w:styleId="160">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 w:hAnsi="仿宋" w:eastAsia="仿宋" w:cs="宋体"/>
      <w:kern w:val="0"/>
      <w:sz w:val="24"/>
    </w:rPr>
  </w:style>
  <w:style w:type="paragraph" w:customStyle="1" w:styleId="161">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 w:hAnsi="仿宋" w:eastAsia="仿宋" w:cs="宋体"/>
      <w:kern w:val="0"/>
      <w:sz w:val="24"/>
    </w:rPr>
  </w:style>
  <w:style w:type="paragraph" w:customStyle="1" w:styleId="162">
    <w:name w:val="xl108"/>
    <w:basedOn w:val="1"/>
    <w:qFormat/>
    <w:uiPriority w:val="0"/>
    <w:pPr>
      <w:widowControl/>
      <w:spacing w:before="100" w:beforeAutospacing="1" w:after="100" w:afterAutospacing="1"/>
      <w:jc w:val="center"/>
    </w:pPr>
    <w:rPr>
      <w:rFonts w:ascii="仿宋" w:hAnsi="仿宋" w:eastAsia="仿宋" w:cs="宋体"/>
      <w:kern w:val="0"/>
      <w:sz w:val="24"/>
    </w:rPr>
  </w:style>
  <w:style w:type="paragraph" w:customStyle="1" w:styleId="163">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4"/>
    </w:rPr>
  </w:style>
  <w:style w:type="paragraph" w:customStyle="1" w:styleId="164">
    <w:name w:val="xl11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仿宋" w:hAnsi="仿宋" w:eastAsia="仿宋" w:cs="宋体"/>
      <w:b/>
      <w:bCs/>
      <w:kern w:val="0"/>
      <w:sz w:val="24"/>
    </w:rPr>
  </w:style>
  <w:style w:type="paragraph" w:customStyle="1" w:styleId="165">
    <w:name w:val="xl111"/>
    <w:basedOn w:val="1"/>
    <w:qFormat/>
    <w:uiPriority w:val="0"/>
    <w:pPr>
      <w:widowControl/>
      <w:pBdr>
        <w:top w:val="single" w:color="auto" w:sz="4" w:space="0"/>
        <w:bottom w:val="single" w:color="auto" w:sz="4" w:space="0"/>
      </w:pBdr>
      <w:spacing w:before="100" w:beforeAutospacing="1" w:after="100" w:afterAutospacing="1"/>
      <w:jc w:val="center"/>
    </w:pPr>
    <w:rPr>
      <w:rFonts w:ascii="仿宋" w:hAnsi="仿宋" w:eastAsia="仿宋" w:cs="宋体"/>
      <w:b/>
      <w:bCs/>
      <w:kern w:val="0"/>
      <w:sz w:val="24"/>
    </w:rPr>
  </w:style>
  <w:style w:type="paragraph" w:customStyle="1" w:styleId="166">
    <w:name w:val="xl11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b/>
      <w:bCs/>
      <w:kern w:val="0"/>
      <w:sz w:val="24"/>
    </w:rPr>
  </w:style>
  <w:style w:type="paragraph" w:customStyle="1" w:styleId="167">
    <w:name w:val="xl11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仿宋" w:hAnsi="仿宋" w:eastAsia="仿宋" w:cs="宋体"/>
      <w:b/>
      <w:bCs/>
      <w:kern w:val="0"/>
      <w:sz w:val="24"/>
    </w:rPr>
  </w:style>
  <w:style w:type="paragraph" w:customStyle="1" w:styleId="168">
    <w:name w:val="xl11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b/>
      <w:bCs/>
      <w:kern w:val="0"/>
      <w:sz w:val="24"/>
    </w:rPr>
  </w:style>
  <w:style w:type="paragraph" w:customStyle="1" w:styleId="169">
    <w:name w:val="xl11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仿宋" w:hAnsi="仿宋" w:eastAsia="仿宋" w:cs="宋体"/>
      <w:b/>
      <w:bCs/>
      <w:color w:val="FF0000"/>
      <w:kern w:val="0"/>
      <w:sz w:val="24"/>
    </w:rPr>
  </w:style>
  <w:style w:type="paragraph" w:customStyle="1" w:styleId="170">
    <w:name w:val="xl11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b/>
      <w:bCs/>
      <w:color w:val="FF0000"/>
      <w:kern w:val="0"/>
      <w:sz w:val="24"/>
    </w:rPr>
  </w:style>
  <w:style w:type="character" w:customStyle="1" w:styleId="171">
    <w:name w:val="页眉 字符"/>
    <w:basedOn w:val="33"/>
    <w:link w:val="19"/>
    <w:qFormat/>
    <w:uiPriority w:val="0"/>
    <w:rPr>
      <w:rFonts w:asciiTheme="minorHAnsi" w:hAnsiTheme="minorHAnsi" w:eastAsiaTheme="minorEastAsia" w:cstheme="minorBidi"/>
      <w:kern w:val="2"/>
      <w:sz w:val="18"/>
      <w:szCs w:val="18"/>
    </w:rPr>
  </w:style>
  <w:style w:type="paragraph" w:customStyle="1" w:styleId="172">
    <w:name w:val="Body text|1"/>
    <w:basedOn w:val="1"/>
    <w:unhideWhenUsed/>
    <w:qFormat/>
    <w:uiPriority w:val="0"/>
    <w:pPr>
      <w:spacing w:after="90" w:line="480" w:lineRule="auto"/>
      <w:ind w:firstLine="400" w:firstLineChars="200"/>
    </w:pPr>
    <w:rPr>
      <w:rFonts w:hint="eastAsia" w:ascii="MingLiU" w:hAnsi="MingLiU" w:eastAsia="MingLiU" w:cs="仿宋"/>
      <w:sz w:val="19"/>
      <w:lang w:val="zh-TW" w:eastAsia="zh-TW"/>
    </w:rPr>
  </w:style>
  <w:style w:type="paragraph" w:customStyle="1" w:styleId="173">
    <w:name w:val="标题 5（有编号）（绿盟科技）"/>
    <w:basedOn w:val="1"/>
    <w:next w:val="174"/>
    <w:qFormat/>
    <w:uiPriority w:val="0"/>
    <w:pPr>
      <w:keepNext/>
      <w:keepLines/>
      <w:numPr>
        <w:ilvl w:val="4"/>
        <w:numId w:val="1"/>
      </w:numPr>
      <w:spacing w:before="280" w:after="156" w:line="377" w:lineRule="auto"/>
      <w:ind w:firstLine="720" w:firstLineChars="200"/>
      <w:jc w:val="left"/>
      <w:outlineLvl w:val="4"/>
    </w:pPr>
    <w:rPr>
      <w:rFonts w:ascii="Arial" w:hAnsi="Arial" w:eastAsia="黑体" w:cs="仿宋"/>
      <w:b/>
      <w:sz w:val="24"/>
      <w:szCs w:val="28"/>
    </w:rPr>
  </w:style>
  <w:style w:type="paragraph" w:customStyle="1" w:styleId="174">
    <w:name w:val="正文（绿盟科技）"/>
    <w:qFormat/>
    <w:uiPriority w:val="0"/>
    <w:pPr>
      <w:spacing w:line="300" w:lineRule="auto"/>
    </w:pPr>
    <w:rPr>
      <w:rFonts w:ascii="Arial" w:hAnsi="Arial" w:eastAsia="宋体" w:cs="Times New Roman"/>
      <w:sz w:val="21"/>
      <w:szCs w:val="21"/>
      <w:lang w:val="en-US" w:eastAsia="zh-CN" w:bidi="ar-SA"/>
    </w:rPr>
  </w:style>
  <w:style w:type="paragraph" w:customStyle="1" w:styleId="175">
    <w:name w:val="6666"/>
    <w:basedOn w:val="1"/>
    <w:qFormat/>
    <w:uiPriority w:val="0"/>
    <w:pPr>
      <w:jc w:val="center"/>
    </w:pPr>
    <w:rPr>
      <w:rFonts w:ascii="仿宋" w:hAnsi="仿宋" w:eastAsia="仿宋" w:cs="仿宋"/>
      <w:kern w:val="0"/>
      <w:sz w:val="18"/>
      <w:szCs w:val="18"/>
    </w:rPr>
  </w:style>
  <w:style w:type="paragraph" w:customStyle="1" w:styleId="176">
    <w:name w:val="666"/>
    <w:basedOn w:val="1"/>
    <w:qFormat/>
    <w:uiPriority w:val="0"/>
    <w:pPr>
      <w:widowControl/>
      <w:spacing w:line="320" w:lineRule="exact"/>
      <w:ind w:firstLine="720" w:firstLineChars="200"/>
      <w:jc w:val="center"/>
      <w:textAlignment w:val="center"/>
    </w:pPr>
    <w:rPr>
      <w:rFonts w:hint="eastAsia" w:ascii="仿宋" w:hAnsi="仿宋" w:eastAsia="仿宋" w:cs="Times New Roman"/>
      <w:color w:val="000000"/>
      <w:kern w:val="0"/>
      <w:sz w:val="22"/>
      <w:szCs w:val="28"/>
    </w:rPr>
  </w:style>
  <w:style w:type="character" w:customStyle="1" w:styleId="177">
    <w:name w:val="未处理的提及1"/>
    <w:basedOn w:val="33"/>
    <w:semiHidden/>
    <w:unhideWhenUsed/>
    <w:qFormat/>
    <w:uiPriority w:val="99"/>
    <w:rPr>
      <w:color w:val="605E5C"/>
      <w:shd w:val="clear" w:color="auto" w:fill="E1DFDD"/>
    </w:rPr>
  </w:style>
  <w:style w:type="paragraph" w:customStyle="1" w:styleId="178">
    <w:name w:val="xl11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79">
    <w:name w:val="xl11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0">
    <w:name w:val="xl11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81">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82">
    <w:name w:val="font7"/>
    <w:basedOn w:val="1"/>
    <w:qFormat/>
    <w:uiPriority w:val="0"/>
    <w:pPr>
      <w:widowControl/>
      <w:spacing w:before="100" w:beforeAutospacing="1" w:after="100" w:afterAutospacing="1"/>
      <w:jc w:val="left"/>
    </w:pPr>
    <w:rPr>
      <w:rFonts w:ascii="仿宋" w:hAnsi="仿宋" w:eastAsia="仿宋" w:cs="宋体"/>
      <w:color w:val="000000"/>
      <w:kern w:val="0"/>
      <w:sz w:val="22"/>
      <w:szCs w:val="22"/>
    </w:rPr>
  </w:style>
  <w:style w:type="paragraph" w:customStyle="1" w:styleId="183">
    <w:name w:val="xl12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b/>
      <w:bCs/>
      <w:kern w:val="0"/>
      <w:sz w:val="24"/>
    </w:rPr>
  </w:style>
  <w:style w:type="paragraph" w:customStyle="1" w:styleId="184">
    <w:name w:val="xl12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仿宋" w:hAnsi="仿宋" w:eastAsia="仿宋" w:cs="宋体"/>
      <w:b/>
      <w:bCs/>
      <w:kern w:val="0"/>
      <w:sz w:val="24"/>
    </w:rPr>
  </w:style>
  <w:style w:type="paragraph" w:customStyle="1" w:styleId="185">
    <w:name w:val="xl12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b/>
      <w:bCs/>
      <w:kern w:val="0"/>
      <w:sz w:val="24"/>
    </w:rPr>
  </w:style>
  <w:style w:type="paragraph" w:customStyle="1" w:styleId="186">
    <w:name w:val="xl123"/>
    <w:basedOn w:val="1"/>
    <w:qFormat/>
    <w:uiPriority w:val="0"/>
    <w:pPr>
      <w:widowControl/>
      <w:pBdr>
        <w:top w:val="single" w:color="auto" w:sz="4" w:space="0"/>
        <w:bottom w:val="single" w:color="auto" w:sz="4" w:space="0"/>
      </w:pBdr>
      <w:spacing w:before="100" w:beforeAutospacing="1" w:after="100" w:afterAutospacing="1"/>
      <w:jc w:val="center"/>
    </w:pPr>
    <w:rPr>
      <w:rFonts w:ascii="仿宋" w:hAnsi="仿宋" w:eastAsia="仿宋" w:cs="宋体"/>
      <w:b/>
      <w:bCs/>
      <w:kern w:val="0"/>
      <w:sz w:val="24"/>
    </w:rPr>
  </w:style>
  <w:style w:type="paragraph" w:customStyle="1" w:styleId="187">
    <w:name w:val="xl1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仿宋" w:hAnsi="仿宋" w:eastAsia="仿宋" w:cs="宋体"/>
      <w:b/>
      <w:bCs/>
      <w:color w:val="FF0000"/>
      <w:kern w:val="0"/>
      <w:sz w:val="24"/>
    </w:rPr>
  </w:style>
  <w:style w:type="paragraph" w:customStyle="1" w:styleId="188">
    <w:name w:val="xl1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b/>
      <w:bCs/>
      <w:color w:val="FF0000"/>
      <w:kern w:val="0"/>
      <w:sz w:val="24"/>
    </w:rPr>
  </w:style>
  <w:style w:type="paragraph" w:customStyle="1" w:styleId="189">
    <w:name w:val="font8"/>
    <w:basedOn w:val="1"/>
    <w:qFormat/>
    <w:uiPriority w:val="0"/>
    <w:pPr>
      <w:widowControl/>
      <w:spacing w:before="100" w:beforeAutospacing="1" w:after="100" w:afterAutospacing="1"/>
      <w:jc w:val="left"/>
    </w:pPr>
    <w:rPr>
      <w:rFonts w:ascii="Times New Roman" w:hAnsi="Times New Roman" w:eastAsia="宋体" w:cs="Times New Roman"/>
      <w:b/>
      <w:bCs/>
      <w:color w:val="000000"/>
      <w:kern w:val="0"/>
      <w:sz w:val="18"/>
      <w:szCs w:val="18"/>
    </w:rPr>
  </w:style>
  <w:style w:type="paragraph" w:customStyle="1" w:styleId="190">
    <w:name w:val="font9"/>
    <w:basedOn w:val="1"/>
    <w:qFormat/>
    <w:uiPriority w:val="0"/>
    <w:pPr>
      <w:widowControl/>
      <w:spacing w:before="100" w:beforeAutospacing="1" w:after="100" w:afterAutospacing="1"/>
      <w:jc w:val="left"/>
    </w:pPr>
    <w:rPr>
      <w:rFonts w:ascii="仿宋" w:hAnsi="仿宋" w:eastAsia="仿宋" w:cs="宋体"/>
      <w:b/>
      <w:bCs/>
      <w:color w:val="000000"/>
      <w:kern w:val="0"/>
      <w:sz w:val="18"/>
      <w:szCs w:val="18"/>
    </w:rPr>
  </w:style>
  <w:style w:type="character" w:customStyle="1" w:styleId="191">
    <w:name w:val="未处理的提及2"/>
    <w:basedOn w:val="3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624CA-DD3D-4099-B3BA-1C2E8AC46127}">
  <ds:schemaRefs/>
</ds:datastoreItem>
</file>

<file path=docProps/app.xml><?xml version="1.0" encoding="utf-8"?>
<Properties xmlns="http://schemas.openxmlformats.org/officeDocument/2006/extended-properties" xmlns:vt="http://schemas.openxmlformats.org/officeDocument/2006/docPropsVTypes">
  <Template>Normal</Template>
  <Pages>13</Pages>
  <Words>4618</Words>
  <Characters>4901</Characters>
  <Lines>34</Lines>
  <Paragraphs>9</Paragraphs>
  <TotalTime>17</TotalTime>
  <ScaleCrop>false</ScaleCrop>
  <LinksUpToDate>false</LinksUpToDate>
  <CharactersWithSpaces>4901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2022-05-25T02:54:00Z</dcterms:created>
  <dc:creator>铭泰中泓</dc:creator>
  <cp:lastModifiedBy>白宏宇</cp:lastModifiedBy>
  <cp:lastPrinted>2023-04-22T07:13:00Z</cp:lastPrinted>
  <dcterms:modified xsi:type="dcterms:W3CDTF">2026-08-06T02:51:43Z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4A9BDAB1BEB7416A822C07943B93A118</vt:lpwstr>
  </property>
  <property fmtid="{D5CDD505-2E9C-101B-9397-08002B2CF9AE}" pid="4" name="KSOTemplateDocerSaveRecord">
    <vt:lpwstr>eyJoZGlkIjoiNzNlMjQ4ZmUxZWJkZjBiZmI1YTY1YmI3YWQyODQ0OTciLCJ1c2VySWQiOiI3NzcyNDEwOTkifQ==</vt:lpwstr>
  </property>
</Properties>
</file>